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5E57A" w14:textId="30DA83A5" w:rsidR="00C07298" w:rsidRPr="00EA6AC9" w:rsidRDefault="00C07298" w:rsidP="00C07298">
      <w:pPr>
        <w:jc w:val="right"/>
        <w:rPr>
          <w:rFonts w:eastAsiaTheme="minorHAnsi"/>
          <w:sz w:val="22"/>
          <w:szCs w:val="22"/>
        </w:rPr>
      </w:pPr>
      <w:r w:rsidRPr="00EA6AC9">
        <w:rPr>
          <w:sz w:val="22"/>
          <w:szCs w:val="22"/>
        </w:rPr>
        <w:t>2016-2017 ALA CD#39</w:t>
      </w:r>
      <w:r w:rsidR="00DD154F">
        <w:rPr>
          <w:sz w:val="22"/>
          <w:szCs w:val="22"/>
        </w:rPr>
        <w:t>_62417_INF</w:t>
      </w:r>
    </w:p>
    <w:p w14:paraId="57918369" w14:textId="77777777" w:rsidR="00C07298" w:rsidRPr="00EA6AC9" w:rsidRDefault="00C07298" w:rsidP="00C07298">
      <w:pPr>
        <w:jc w:val="right"/>
        <w:rPr>
          <w:sz w:val="22"/>
          <w:szCs w:val="22"/>
        </w:rPr>
      </w:pPr>
      <w:r w:rsidRPr="00EA6AC9">
        <w:rPr>
          <w:sz w:val="22"/>
          <w:szCs w:val="22"/>
        </w:rPr>
        <w:t>2017 ALA Annual Conference</w:t>
      </w:r>
    </w:p>
    <w:p w14:paraId="046B4A5C" w14:textId="77777777" w:rsidR="00B40190" w:rsidRPr="00EA6AC9" w:rsidRDefault="00B56ECB" w:rsidP="00C07298">
      <w:pPr>
        <w:jc w:val="right"/>
        <w:rPr>
          <w:sz w:val="22"/>
          <w:szCs w:val="22"/>
        </w:rPr>
      </w:pPr>
    </w:p>
    <w:p w14:paraId="46070FE0" w14:textId="5B5C901A" w:rsidR="00C07298" w:rsidRPr="00EA6AC9" w:rsidRDefault="00C07298" w:rsidP="00C07298">
      <w:pPr>
        <w:rPr>
          <w:b/>
          <w:sz w:val="22"/>
          <w:szCs w:val="22"/>
        </w:rPr>
      </w:pPr>
      <w:r w:rsidRPr="00EA6AC9">
        <w:rPr>
          <w:b/>
          <w:sz w:val="22"/>
          <w:szCs w:val="22"/>
        </w:rPr>
        <w:t xml:space="preserve">TO:  </w:t>
      </w:r>
      <w:r w:rsidRPr="00EA6AC9">
        <w:rPr>
          <w:b/>
          <w:sz w:val="22"/>
          <w:szCs w:val="22"/>
        </w:rPr>
        <w:tab/>
      </w:r>
      <w:r w:rsidRPr="00EA6AC9">
        <w:rPr>
          <w:b/>
          <w:sz w:val="22"/>
          <w:szCs w:val="22"/>
        </w:rPr>
        <w:tab/>
      </w:r>
      <w:r w:rsidRPr="00EA6AC9">
        <w:rPr>
          <w:sz w:val="22"/>
          <w:szCs w:val="22"/>
        </w:rPr>
        <w:t>ALA Council</w:t>
      </w:r>
    </w:p>
    <w:p w14:paraId="17F8CC02" w14:textId="77777777" w:rsidR="00C07298" w:rsidRPr="00EA6AC9" w:rsidRDefault="00C07298" w:rsidP="00C07298">
      <w:pPr>
        <w:rPr>
          <w:sz w:val="22"/>
          <w:szCs w:val="22"/>
        </w:rPr>
      </w:pPr>
      <w:r w:rsidRPr="00EA6AC9">
        <w:rPr>
          <w:b/>
          <w:sz w:val="22"/>
          <w:szCs w:val="22"/>
        </w:rPr>
        <w:t>RE:</w:t>
      </w:r>
      <w:r w:rsidRPr="00EA6AC9">
        <w:rPr>
          <w:sz w:val="22"/>
          <w:szCs w:val="22"/>
        </w:rPr>
        <w:tab/>
      </w:r>
      <w:r w:rsidRPr="00EA6AC9">
        <w:rPr>
          <w:sz w:val="22"/>
          <w:szCs w:val="22"/>
        </w:rPr>
        <w:tab/>
      </w:r>
      <w:r w:rsidRPr="00EA6AC9">
        <w:rPr>
          <w:rFonts w:cs="Times New Roman"/>
          <w:i/>
          <w:iCs/>
          <w:sz w:val="22"/>
          <w:szCs w:val="22"/>
        </w:rPr>
        <w:t>Center for the Future of Libraries Update</w:t>
      </w:r>
      <w:r w:rsidRPr="00EA6AC9">
        <w:rPr>
          <w:sz w:val="22"/>
          <w:szCs w:val="22"/>
        </w:rPr>
        <w:tab/>
        <w:t xml:space="preserve"> </w:t>
      </w:r>
    </w:p>
    <w:p w14:paraId="3EB73514" w14:textId="77777777" w:rsidR="00C07298" w:rsidRPr="00EA6AC9" w:rsidRDefault="00C07298" w:rsidP="00C07298">
      <w:pPr>
        <w:rPr>
          <w:sz w:val="22"/>
          <w:szCs w:val="22"/>
        </w:rPr>
      </w:pPr>
    </w:p>
    <w:p w14:paraId="157C1DA1" w14:textId="77777777" w:rsidR="00C07298" w:rsidRPr="00EA6AC9" w:rsidRDefault="00C07298" w:rsidP="00C07298">
      <w:pPr>
        <w:ind w:left="2160" w:hanging="2160"/>
        <w:rPr>
          <w:b/>
          <w:sz w:val="22"/>
          <w:szCs w:val="22"/>
        </w:rPr>
      </w:pPr>
      <w:r w:rsidRPr="00EA6AC9">
        <w:rPr>
          <w:b/>
          <w:sz w:val="22"/>
          <w:szCs w:val="22"/>
        </w:rPr>
        <w:t>ACTION REQUESTED/INFORMATION/REPORT:</w:t>
      </w:r>
    </w:p>
    <w:p w14:paraId="55896967" w14:textId="77777777" w:rsidR="00C07298" w:rsidRPr="00EA6AC9" w:rsidRDefault="00C07298" w:rsidP="00C07298">
      <w:pPr>
        <w:ind w:left="2160" w:hanging="2160"/>
        <w:rPr>
          <w:b/>
          <w:sz w:val="22"/>
          <w:szCs w:val="22"/>
        </w:rPr>
      </w:pPr>
      <w:r w:rsidRPr="00EA6AC9">
        <w:rPr>
          <w:b/>
          <w:sz w:val="22"/>
          <w:szCs w:val="22"/>
        </w:rPr>
        <w:t xml:space="preserve">           </w:t>
      </w:r>
      <w:r w:rsidRPr="00EA6AC9">
        <w:rPr>
          <w:rFonts w:cs="Times New Roman"/>
          <w:i/>
          <w:iCs/>
          <w:sz w:val="22"/>
          <w:szCs w:val="22"/>
        </w:rPr>
        <w:t>Update on activities of the Center for the Future of Libraries.</w:t>
      </w:r>
      <w:r w:rsidRPr="00EA6AC9">
        <w:rPr>
          <w:b/>
          <w:sz w:val="22"/>
          <w:szCs w:val="22"/>
        </w:rPr>
        <w:tab/>
      </w:r>
    </w:p>
    <w:p w14:paraId="139D6BF0" w14:textId="77777777" w:rsidR="00C07298" w:rsidRPr="00EA6AC9" w:rsidRDefault="00C07298" w:rsidP="00C07298">
      <w:pPr>
        <w:pStyle w:val="BodyTextIndent"/>
        <w:ind w:left="0" w:firstLine="0"/>
        <w:rPr>
          <w:rFonts w:asciiTheme="minorHAnsi" w:hAnsiTheme="minorHAnsi"/>
          <w:i w:val="0"/>
          <w:sz w:val="22"/>
          <w:szCs w:val="22"/>
        </w:rPr>
      </w:pPr>
    </w:p>
    <w:p w14:paraId="19428FA9" w14:textId="77777777" w:rsidR="00C07298" w:rsidRPr="00EA6AC9" w:rsidRDefault="00C07298" w:rsidP="00C07298">
      <w:pPr>
        <w:ind w:left="2880" w:hanging="2880"/>
        <w:rPr>
          <w:b/>
          <w:sz w:val="22"/>
          <w:szCs w:val="22"/>
        </w:rPr>
      </w:pPr>
      <w:r w:rsidRPr="00EA6AC9">
        <w:rPr>
          <w:b/>
          <w:sz w:val="22"/>
          <w:szCs w:val="22"/>
        </w:rPr>
        <w:t>PRESENTED BY:</w:t>
      </w:r>
      <w:r w:rsidRPr="00EA6AC9">
        <w:rPr>
          <w:b/>
          <w:sz w:val="22"/>
          <w:szCs w:val="22"/>
        </w:rPr>
        <w:tab/>
      </w:r>
    </w:p>
    <w:p w14:paraId="298E0616" w14:textId="3ED98ADE" w:rsidR="00C07298" w:rsidRPr="00EA6AC9" w:rsidRDefault="00C07298" w:rsidP="00C07298">
      <w:pPr>
        <w:widowControl w:val="0"/>
        <w:autoSpaceDE w:val="0"/>
        <w:autoSpaceDN w:val="0"/>
        <w:adjustRightInd w:val="0"/>
        <w:ind w:firstLine="720"/>
        <w:rPr>
          <w:rFonts w:cs="Times New Roman"/>
          <w:i/>
          <w:iCs/>
          <w:sz w:val="22"/>
          <w:szCs w:val="22"/>
        </w:rPr>
      </w:pPr>
      <w:r w:rsidRPr="00EA6AC9">
        <w:rPr>
          <w:rFonts w:cs="Times New Roman"/>
          <w:i/>
          <w:iCs/>
          <w:sz w:val="22"/>
          <w:szCs w:val="22"/>
        </w:rPr>
        <w:t>Susan Kent, Chair, Center for the Future of Libraries Advisory Group</w:t>
      </w:r>
      <w:r w:rsidR="00482515">
        <w:rPr>
          <w:rFonts w:cs="Times New Roman"/>
          <w:i/>
          <w:iCs/>
          <w:sz w:val="22"/>
          <w:szCs w:val="22"/>
        </w:rPr>
        <w:t xml:space="preserve"> </w:t>
      </w:r>
      <w:bookmarkStart w:id="0" w:name="_GoBack"/>
      <w:bookmarkEnd w:id="0"/>
    </w:p>
    <w:p w14:paraId="118D6602" w14:textId="02B52694" w:rsidR="00607D14" w:rsidRPr="00EA6AC9" w:rsidRDefault="00607D14" w:rsidP="00C07298">
      <w:pPr>
        <w:rPr>
          <w:rFonts w:cs="Times New Roman"/>
          <w:i/>
          <w:iCs/>
          <w:sz w:val="22"/>
          <w:szCs w:val="22"/>
        </w:rPr>
      </w:pPr>
    </w:p>
    <w:p w14:paraId="788F27E6" w14:textId="77777777" w:rsidR="00C07298" w:rsidRPr="00EA6AC9" w:rsidRDefault="00C07298" w:rsidP="00C07298">
      <w:pPr>
        <w:rPr>
          <w:rFonts w:cs="Times New Roman"/>
          <w:i/>
          <w:iCs/>
          <w:sz w:val="22"/>
          <w:szCs w:val="22"/>
        </w:rPr>
      </w:pPr>
      <w:r w:rsidRPr="00EA6AC9">
        <w:rPr>
          <w:rFonts w:cs="Times New Roman"/>
          <w:i/>
          <w:iCs/>
          <w:sz w:val="22"/>
          <w:szCs w:val="22"/>
        </w:rPr>
        <w:t xml:space="preserve">This update includes information on the Center’s </w:t>
      </w:r>
      <w:r w:rsidRPr="00EA6AC9">
        <w:rPr>
          <w:i/>
          <w:iCs/>
          <w:sz w:val="22"/>
          <w:szCs w:val="22"/>
        </w:rPr>
        <w:t>work across three goal areas</w:t>
      </w:r>
      <w:r w:rsidRPr="00EA6AC9">
        <w:rPr>
          <w:rFonts w:cs="Times New Roman"/>
          <w:i/>
          <w:iCs/>
          <w:sz w:val="22"/>
          <w:szCs w:val="22"/>
        </w:rPr>
        <w:t>:</w:t>
      </w:r>
    </w:p>
    <w:p w14:paraId="26FAA635" w14:textId="77777777" w:rsidR="00C07298" w:rsidRPr="00EA6AC9" w:rsidRDefault="00C07298" w:rsidP="00C07298">
      <w:pPr>
        <w:pStyle w:val="ListParagraph"/>
        <w:numPr>
          <w:ilvl w:val="0"/>
          <w:numId w:val="1"/>
        </w:numPr>
        <w:rPr>
          <w:rFonts w:cs="Times New Roman"/>
          <w:i/>
          <w:iCs/>
          <w:sz w:val="22"/>
          <w:szCs w:val="22"/>
        </w:rPr>
      </w:pPr>
      <w:r w:rsidRPr="00EA6AC9">
        <w:rPr>
          <w:rFonts w:cs="Times New Roman"/>
          <w:i/>
          <w:iCs/>
          <w:sz w:val="22"/>
          <w:szCs w:val="22"/>
        </w:rPr>
        <w:t>Identify emerging trends relevant to libraries and the communities they serve</w:t>
      </w:r>
    </w:p>
    <w:p w14:paraId="78C6F845" w14:textId="77777777" w:rsidR="00C07298" w:rsidRPr="00EA6AC9" w:rsidRDefault="00C07298" w:rsidP="00C07298">
      <w:pPr>
        <w:pStyle w:val="ListParagraph"/>
        <w:numPr>
          <w:ilvl w:val="0"/>
          <w:numId w:val="1"/>
        </w:numPr>
        <w:rPr>
          <w:rFonts w:cs="Times New Roman"/>
          <w:i/>
          <w:iCs/>
          <w:sz w:val="22"/>
          <w:szCs w:val="22"/>
        </w:rPr>
      </w:pPr>
      <w:r w:rsidRPr="00EA6AC9">
        <w:rPr>
          <w:rFonts w:cs="Times New Roman"/>
          <w:i/>
          <w:iCs/>
          <w:sz w:val="22"/>
          <w:szCs w:val="22"/>
        </w:rPr>
        <w:t xml:space="preserve">Promote </w:t>
      </w:r>
      <w:proofErr w:type="spellStart"/>
      <w:r w:rsidRPr="00EA6AC9">
        <w:rPr>
          <w:rFonts w:cs="Times New Roman"/>
          <w:i/>
          <w:iCs/>
          <w:sz w:val="22"/>
          <w:szCs w:val="22"/>
        </w:rPr>
        <w:t>futuring</w:t>
      </w:r>
      <w:proofErr w:type="spellEnd"/>
      <w:r w:rsidRPr="00EA6AC9">
        <w:rPr>
          <w:rFonts w:cs="Times New Roman"/>
          <w:i/>
          <w:iCs/>
          <w:sz w:val="22"/>
          <w:szCs w:val="22"/>
        </w:rPr>
        <w:t xml:space="preserve"> and innovation techniques to help librarians and library professionals shape their future</w:t>
      </w:r>
    </w:p>
    <w:p w14:paraId="042F780A" w14:textId="77777777" w:rsidR="00C07298" w:rsidRPr="00EA6AC9" w:rsidRDefault="00C07298" w:rsidP="00C07298">
      <w:pPr>
        <w:pStyle w:val="ListParagraph"/>
        <w:numPr>
          <w:ilvl w:val="0"/>
          <w:numId w:val="1"/>
        </w:numPr>
        <w:rPr>
          <w:rFonts w:cs="Times New Roman"/>
          <w:i/>
          <w:iCs/>
          <w:sz w:val="22"/>
          <w:szCs w:val="22"/>
        </w:rPr>
      </w:pPr>
      <w:r w:rsidRPr="00EA6AC9">
        <w:rPr>
          <w:rFonts w:cs="Times New Roman"/>
          <w:i/>
          <w:iCs/>
          <w:sz w:val="22"/>
          <w:szCs w:val="22"/>
        </w:rPr>
        <w:t xml:space="preserve">Build connections with experts and innovative thinkers to help libraries address emerging issues  </w:t>
      </w:r>
    </w:p>
    <w:p w14:paraId="67E24041" w14:textId="6641BB23" w:rsidR="00607D14" w:rsidRPr="00EA6AC9" w:rsidRDefault="00607D14" w:rsidP="00C07298">
      <w:pPr>
        <w:widowControl w:val="0"/>
        <w:autoSpaceDE w:val="0"/>
        <w:autoSpaceDN w:val="0"/>
        <w:adjustRightInd w:val="0"/>
        <w:rPr>
          <w:rFonts w:cs="Helvetica Neue"/>
          <w:b/>
          <w:i/>
          <w:color w:val="242424"/>
          <w:sz w:val="22"/>
          <w:szCs w:val="22"/>
        </w:rPr>
      </w:pPr>
    </w:p>
    <w:p w14:paraId="6DC7F7AB" w14:textId="77777777" w:rsidR="00C07298" w:rsidRPr="00EA6AC9" w:rsidRDefault="00C07298" w:rsidP="00C07298">
      <w:pPr>
        <w:widowControl w:val="0"/>
        <w:autoSpaceDE w:val="0"/>
        <w:autoSpaceDN w:val="0"/>
        <w:adjustRightInd w:val="0"/>
        <w:rPr>
          <w:rFonts w:cs="Helvetica Neue"/>
          <w:b/>
          <w:i/>
          <w:color w:val="242424"/>
          <w:sz w:val="22"/>
          <w:szCs w:val="22"/>
        </w:rPr>
      </w:pPr>
      <w:r w:rsidRPr="00EA6AC9">
        <w:rPr>
          <w:rFonts w:cs="Helvetica Neue"/>
          <w:b/>
          <w:i/>
          <w:color w:val="242424"/>
          <w:sz w:val="22"/>
          <w:szCs w:val="22"/>
        </w:rPr>
        <w:t>Background</w:t>
      </w:r>
    </w:p>
    <w:p w14:paraId="2B755734" w14:textId="77777777" w:rsidR="00C07298" w:rsidRPr="00EA6AC9" w:rsidRDefault="00C07298" w:rsidP="00C07298">
      <w:pPr>
        <w:widowControl w:val="0"/>
        <w:autoSpaceDE w:val="0"/>
        <w:autoSpaceDN w:val="0"/>
        <w:adjustRightInd w:val="0"/>
        <w:rPr>
          <w:rFonts w:cs="Helvetica Neue"/>
          <w:color w:val="242424"/>
          <w:sz w:val="22"/>
          <w:szCs w:val="22"/>
        </w:rPr>
      </w:pPr>
    </w:p>
    <w:p w14:paraId="4F9F37F0" w14:textId="77777777" w:rsidR="00C07298" w:rsidRPr="00EA6AC9" w:rsidRDefault="00C07298" w:rsidP="00C07298">
      <w:pPr>
        <w:widowControl w:val="0"/>
        <w:autoSpaceDE w:val="0"/>
        <w:autoSpaceDN w:val="0"/>
        <w:adjustRightInd w:val="0"/>
        <w:rPr>
          <w:rFonts w:cs="Helvetica Neue"/>
          <w:color w:val="242424"/>
          <w:sz w:val="22"/>
          <w:szCs w:val="22"/>
        </w:rPr>
      </w:pPr>
      <w:r w:rsidRPr="00EA6AC9">
        <w:rPr>
          <w:rFonts w:cs="Helvetica Neue"/>
          <w:color w:val="242424"/>
          <w:sz w:val="22"/>
          <w:szCs w:val="22"/>
        </w:rPr>
        <w:t>ALA announced the formation of a Center for the Future of Libraries (</w:t>
      </w:r>
      <w:hyperlink r:id="rId7" w:history="1">
        <w:r w:rsidRPr="00EA6AC9">
          <w:rPr>
            <w:rStyle w:val="Hyperlink"/>
            <w:rFonts w:cs="Helvetica Neue"/>
            <w:sz w:val="22"/>
            <w:szCs w:val="22"/>
          </w:rPr>
          <w:t>ALA Press Release</w:t>
        </w:r>
      </w:hyperlink>
      <w:r w:rsidRPr="00EA6AC9">
        <w:rPr>
          <w:rFonts w:cs="Helvetica Neue"/>
          <w:color w:val="242424"/>
          <w:sz w:val="22"/>
          <w:szCs w:val="22"/>
        </w:rPr>
        <w:t>) in October 2013 and staffing in May 2014 (</w:t>
      </w:r>
      <w:hyperlink r:id="rId8" w:history="1">
        <w:r w:rsidRPr="00EA6AC9">
          <w:rPr>
            <w:rStyle w:val="Hyperlink"/>
            <w:rFonts w:cs="Helvetica Neue"/>
            <w:sz w:val="22"/>
            <w:szCs w:val="22"/>
          </w:rPr>
          <w:t>ALA Press Release</w:t>
        </w:r>
      </w:hyperlink>
      <w:r w:rsidRPr="00EA6AC9">
        <w:rPr>
          <w:rFonts w:cs="Helvetica Neue"/>
          <w:color w:val="242424"/>
          <w:sz w:val="22"/>
          <w:szCs w:val="22"/>
        </w:rPr>
        <w:t>). The Center was initially supported by a $50,000 Librarians for the 21st Century Planning Grant from the Institute of Museum and Library Services (IMLS) with a project goal to provide library planners and community leaders with information resources and tools that will help them better understand the trends reshaping their libraries and communities and help them incorporate foresight into their planning processes.</w:t>
      </w:r>
    </w:p>
    <w:p w14:paraId="2A31C80F" w14:textId="77777777" w:rsidR="00C07298" w:rsidRPr="00EA6AC9" w:rsidRDefault="00C07298" w:rsidP="00C07298">
      <w:pPr>
        <w:widowControl w:val="0"/>
        <w:autoSpaceDE w:val="0"/>
        <w:autoSpaceDN w:val="0"/>
        <w:adjustRightInd w:val="0"/>
        <w:rPr>
          <w:rFonts w:cs="Helvetica Neue"/>
          <w:color w:val="242424"/>
          <w:sz w:val="22"/>
          <w:szCs w:val="22"/>
        </w:rPr>
      </w:pPr>
    </w:p>
    <w:p w14:paraId="52D4A111" w14:textId="77777777" w:rsidR="00C07298" w:rsidRPr="00EA6AC9" w:rsidRDefault="00C07298" w:rsidP="00C07298">
      <w:pPr>
        <w:widowControl w:val="0"/>
        <w:autoSpaceDE w:val="0"/>
        <w:autoSpaceDN w:val="0"/>
        <w:adjustRightInd w:val="0"/>
        <w:rPr>
          <w:rFonts w:cs="Helvetica Neue"/>
          <w:color w:val="242424"/>
          <w:sz w:val="22"/>
          <w:szCs w:val="22"/>
        </w:rPr>
      </w:pPr>
      <w:r w:rsidRPr="00EA6AC9">
        <w:rPr>
          <w:rFonts w:cs="Helvetica Neue"/>
          <w:color w:val="242424"/>
          <w:sz w:val="22"/>
          <w:szCs w:val="22"/>
        </w:rPr>
        <w:t>A Center for the Future of Libraries Advisory Group was announced in November 2015</w:t>
      </w:r>
      <w:r w:rsidR="004B39BE" w:rsidRPr="00EA6AC9">
        <w:rPr>
          <w:rFonts w:cs="Helvetica Neue"/>
          <w:color w:val="242424"/>
          <w:sz w:val="22"/>
          <w:szCs w:val="22"/>
        </w:rPr>
        <w:t xml:space="preserve"> (</w:t>
      </w:r>
      <w:hyperlink r:id="rId9" w:history="1">
        <w:r w:rsidR="004B39BE" w:rsidRPr="00EA6AC9">
          <w:rPr>
            <w:rStyle w:val="Hyperlink"/>
            <w:rFonts w:cs="Helvetica Neue"/>
            <w:sz w:val="22"/>
            <w:szCs w:val="22"/>
          </w:rPr>
          <w:t>ALA Press Release</w:t>
        </w:r>
      </w:hyperlink>
      <w:r w:rsidR="004B39BE" w:rsidRPr="00EA6AC9">
        <w:rPr>
          <w:rFonts w:cs="Helvetica Neue"/>
          <w:color w:val="242424"/>
          <w:sz w:val="22"/>
          <w:szCs w:val="22"/>
        </w:rPr>
        <w:t>).</w:t>
      </w:r>
    </w:p>
    <w:p w14:paraId="4233FD2A" w14:textId="77777777" w:rsidR="00C07298" w:rsidRPr="00EA6AC9" w:rsidRDefault="00C07298" w:rsidP="00C07298">
      <w:pPr>
        <w:widowControl w:val="0"/>
        <w:autoSpaceDE w:val="0"/>
        <w:autoSpaceDN w:val="0"/>
        <w:adjustRightInd w:val="0"/>
        <w:rPr>
          <w:rFonts w:cs="Helvetica Neue"/>
          <w:color w:val="242424"/>
          <w:sz w:val="22"/>
          <w:szCs w:val="22"/>
        </w:rPr>
      </w:pPr>
    </w:p>
    <w:p w14:paraId="5F8414FD" w14:textId="4B5D6A5F" w:rsidR="00C07298" w:rsidRPr="00EA6AC9" w:rsidRDefault="00C07298" w:rsidP="00C07298">
      <w:pPr>
        <w:widowControl w:val="0"/>
        <w:autoSpaceDE w:val="0"/>
        <w:autoSpaceDN w:val="0"/>
        <w:adjustRightInd w:val="0"/>
        <w:rPr>
          <w:rFonts w:cs="Helvetica Neue"/>
          <w:color w:val="242424"/>
          <w:sz w:val="22"/>
          <w:szCs w:val="22"/>
        </w:rPr>
      </w:pPr>
      <w:r w:rsidRPr="00EA6AC9">
        <w:rPr>
          <w:rFonts w:cs="Helvetica Neue"/>
          <w:color w:val="242424"/>
          <w:sz w:val="22"/>
          <w:szCs w:val="22"/>
        </w:rPr>
        <w:t xml:space="preserve">The Center is modeled on the very successful </w:t>
      </w:r>
      <w:hyperlink r:id="rId10" w:history="1">
        <w:r w:rsidRPr="00EA6AC9">
          <w:rPr>
            <w:rStyle w:val="Hyperlink"/>
            <w:rFonts w:cs="Helvetica Neue"/>
            <w:sz w:val="22"/>
            <w:szCs w:val="22"/>
          </w:rPr>
          <w:t>Center for the Future of Museums (CFM) at the American Alliance of Museums</w:t>
        </w:r>
      </w:hyperlink>
      <w:r w:rsidRPr="00EA6AC9">
        <w:rPr>
          <w:rFonts w:cs="Helvetica Neue"/>
          <w:color w:val="242424"/>
          <w:sz w:val="22"/>
          <w:szCs w:val="22"/>
        </w:rPr>
        <w:t xml:space="preserve">. </w:t>
      </w:r>
    </w:p>
    <w:p w14:paraId="59C69B32" w14:textId="333CC174" w:rsidR="00EA6AC9" w:rsidRPr="00EA6AC9" w:rsidRDefault="00EA6AC9" w:rsidP="00C07298">
      <w:pPr>
        <w:widowControl w:val="0"/>
        <w:autoSpaceDE w:val="0"/>
        <w:autoSpaceDN w:val="0"/>
        <w:adjustRightInd w:val="0"/>
        <w:rPr>
          <w:rFonts w:cs="Helvetica Neue"/>
          <w:color w:val="242424"/>
          <w:sz w:val="22"/>
          <w:szCs w:val="22"/>
        </w:rPr>
      </w:pPr>
    </w:p>
    <w:p w14:paraId="05966D11" w14:textId="77777777" w:rsidR="00EA6AC9" w:rsidRPr="00EA6AC9" w:rsidRDefault="00EA6AC9" w:rsidP="00EA6AC9">
      <w:pPr>
        <w:rPr>
          <w:rFonts w:cs="Times New Roman"/>
          <w:iCs/>
          <w:sz w:val="22"/>
          <w:szCs w:val="22"/>
        </w:rPr>
      </w:pPr>
      <w:r w:rsidRPr="00EA6AC9">
        <w:rPr>
          <w:rFonts w:cs="Times New Roman"/>
          <w:b/>
          <w:i/>
          <w:iCs/>
          <w:sz w:val="22"/>
          <w:szCs w:val="22"/>
        </w:rPr>
        <w:t>Advisory Group</w:t>
      </w:r>
    </w:p>
    <w:p w14:paraId="76E2DE31" w14:textId="77777777" w:rsidR="00EA6AC9" w:rsidRPr="00EA6AC9" w:rsidRDefault="00EA6AC9" w:rsidP="00EA6AC9">
      <w:pPr>
        <w:rPr>
          <w:rFonts w:cs="Times New Roman"/>
          <w:iCs/>
          <w:sz w:val="22"/>
          <w:szCs w:val="22"/>
        </w:rPr>
      </w:pPr>
    </w:p>
    <w:p w14:paraId="787306C4" w14:textId="77777777" w:rsidR="00EA6AC9" w:rsidRPr="00EA6AC9" w:rsidRDefault="00EA6AC9" w:rsidP="00EA6AC9">
      <w:pPr>
        <w:rPr>
          <w:rFonts w:cs="Times New Roman"/>
          <w:iCs/>
          <w:sz w:val="22"/>
          <w:szCs w:val="22"/>
        </w:rPr>
      </w:pPr>
      <w:r w:rsidRPr="00EA6AC9">
        <w:rPr>
          <w:rFonts w:cs="Times New Roman"/>
          <w:iCs/>
          <w:sz w:val="22"/>
          <w:szCs w:val="22"/>
        </w:rPr>
        <w:t>The Center for the Future of Libraries Advisory Group has an established charge to:</w:t>
      </w:r>
    </w:p>
    <w:p w14:paraId="6FD78EE7" w14:textId="77777777" w:rsidR="00EA6AC9" w:rsidRPr="00EA6AC9" w:rsidRDefault="00EA6AC9" w:rsidP="00EA6AC9">
      <w:pPr>
        <w:pStyle w:val="ListParagraph"/>
        <w:widowControl w:val="0"/>
        <w:numPr>
          <w:ilvl w:val="0"/>
          <w:numId w:val="3"/>
        </w:numPr>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Advise the Center on emerging trends affecting libraries as well as meaningful and important innovations and activities happening within the profession; </w:t>
      </w:r>
    </w:p>
    <w:p w14:paraId="3B921DF1" w14:textId="77777777" w:rsidR="00EA6AC9" w:rsidRPr="00EA6AC9" w:rsidRDefault="00EA6AC9" w:rsidP="00EA6AC9">
      <w:pPr>
        <w:pStyle w:val="ListParagraph"/>
        <w:widowControl w:val="0"/>
        <w:numPr>
          <w:ilvl w:val="0"/>
          <w:numId w:val="3"/>
        </w:numPr>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Identify, analyze, and share information relevant to the future of libraries and the adoption and use of foresight and innovation techniques to improve libraries' development;</w:t>
      </w:r>
    </w:p>
    <w:p w14:paraId="6F938149" w14:textId="77777777" w:rsidR="00EA6AC9" w:rsidRPr="00EA6AC9" w:rsidRDefault="00EA6AC9" w:rsidP="00EA6AC9">
      <w:pPr>
        <w:pStyle w:val="ListParagraph"/>
        <w:widowControl w:val="0"/>
        <w:numPr>
          <w:ilvl w:val="0"/>
          <w:numId w:val="3"/>
        </w:numPr>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Recommend new programs for and provide feedback on existing programs from the Center that would help librarians and communities better plan and innovate for the future;</w:t>
      </w:r>
    </w:p>
    <w:p w14:paraId="08D3CC74" w14:textId="77777777" w:rsidR="00EA6AC9" w:rsidRPr="00EA6AC9" w:rsidRDefault="00EA6AC9" w:rsidP="00EA6AC9">
      <w:pPr>
        <w:pStyle w:val="ListParagraph"/>
        <w:widowControl w:val="0"/>
        <w:numPr>
          <w:ilvl w:val="0"/>
          <w:numId w:val="3"/>
        </w:numPr>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Assist in the identification of strategies to influence and engage decision-makers in the development and enhancement of libraries' future roles in society;</w:t>
      </w:r>
    </w:p>
    <w:p w14:paraId="4057263A" w14:textId="77777777" w:rsidR="00EA6AC9" w:rsidRPr="00EA6AC9" w:rsidRDefault="00EA6AC9" w:rsidP="00EA6AC9">
      <w:pPr>
        <w:pStyle w:val="ListParagraph"/>
        <w:widowControl w:val="0"/>
        <w:numPr>
          <w:ilvl w:val="0"/>
          <w:numId w:val="3"/>
        </w:numPr>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Reach out to other organizations and experts within the field or in other fields to help expand and improve the work of the Center.</w:t>
      </w:r>
      <w:r w:rsidRPr="00EA6AC9">
        <w:rPr>
          <w:rFonts w:cs="Times New Roman"/>
          <w:iCs/>
          <w:sz w:val="22"/>
          <w:szCs w:val="22"/>
        </w:rPr>
        <w:t xml:space="preserve"> </w:t>
      </w:r>
    </w:p>
    <w:p w14:paraId="6A625FBA" w14:textId="77777777" w:rsidR="00EA6AC9" w:rsidRPr="00EA6AC9" w:rsidRDefault="00EA6AC9" w:rsidP="00EA6AC9">
      <w:pPr>
        <w:widowControl w:val="0"/>
        <w:tabs>
          <w:tab w:val="left" w:pos="220"/>
          <w:tab w:val="left" w:pos="720"/>
        </w:tabs>
        <w:autoSpaceDE w:val="0"/>
        <w:autoSpaceDN w:val="0"/>
        <w:adjustRightInd w:val="0"/>
        <w:rPr>
          <w:rFonts w:eastAsiaTheme="minorHAnsi" w:cs="Helvetica Neue"/>
          <w:color w:val="242424"/>
          <w:sz w:val="22"/>
          <w:szCs w:val="22"/>
        </w:rPr>
      </w:pPr>
    </w:p>
    <w:p w14:paraId="5AFF488C" w14:textId="77777777" w:rsidR="00EA6AC9" w:rsidRPr="00EA6AC9" w:rsidRDefault="00EA6AC9" w:rsidP="00EA6AC9">
      <w:pPr>
        <w:widowControl w:val="0"/>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lastRenderedPageBreak/>
        <w:t>The Advisory Group has supported the Center in the development and selection of content for the Symposium on the Future of Libraries; the creation of the Future of Libraries Fellowship; and the review and selection of the first Future of Libraries Fellow.</w:t>
      </w:r>
    </w:p>
    <w:p w14:paraId="0E8F04DE" w14:textId="77777777" w:rsidR="00EA6AC9" w:rsidRPr="00EA6AC9" w:rsidRDefault="00EA6AC9" w:rsidP="00EA6AC9">
      <w:pPr>
        <w:widowControl w:val="0"/>
        <w:tabs>
          <w:tab w:val="left" w:pos="220"/>
          <w:tab w:val="left" w:pos="720"/>
        </w:tabs>
        <w:autoSpaceDE w:val="0"/>
        <w:autoSpaceDN w:val="0"/>
        <w:adjustRightInd w:val="0"/>
        <w:rPr>
          <w:rFonts w:eastAsiaTheme="minorHAnsi" w:cs="Helvetica Neue"/>
          <w:color w:val="242424"/>
          <w:sz w:val="22"/>
          <w:szCs w:val="22"/>
        </w:rPr>
      </w:pPr>
    </w:p>
    <w:p w14:paraId="1FBA829B" w14:textId="77777777" w:rsidR="00EA6AC9" w:rsidRPr="00EA6AC9" w:rsidRDefault="00EA6AC9" w:rsidP="00EA6AC9">
      <w:pPr>
        <w:widowControl w:val="0"/>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The Advisory Group has focused on the growth and expansion of the Center and identified three priorities for growth over the next two years:</w:t>
      </w:r>
    </w:p>
    <w:p w14:paraId="51313280" w14:textId="77777777" w:rsidR="00EA6AC9" w:rsidRPr="00EA6AC9" w:rsidRDefault="00EA6AC9" w:rsidP="00EA6AC9">
      <w:pPr>
        <w:pStyle w:val="ListParagraph"/>
        <w:widowControl w:val="0"/>
        <w:numPr>
          <w:ilvl w:val="0"/>
          <w:numId w:val="4"/>
        </w:numPr>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Education and Professional Development:  Support for the Center to translate the useful information it has developed into practical resources that can be used by libraries. This can include self-guided activities, practical planning tools, and educational webinars or courses.</w:t>
      </w:r>
    </w:p>
    <w:p w14:paraId="676B2932" w14:textId="77777777" w:rsidR="00EA6AC9" w:rsidRPr="00EA6AC9" w:rsidRDefault="00EA6AC9" w:rsidP="00EA6AC9">
      <w:pPr>
        <w:pStyle w:val="ListParagraph"/>
        <w:widowControl w:val="0"/>
        <w:numPr>
          <w:ilvl w:val="0"/>
          <w:numId w:val="4"/>
        </w:numPr>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Partnerships: As the Center has grown and developed, there is growing interest in partnerships. Developing these initial conversations into more strategic and beneficial projects requires time, attention, and resources.</w:t>
      </w:r>
    </w:p>
    <w:p w14:paraId="1518550F" w14:textId="77777777" w:rsidR="00EA6AC9" w:rsidRPr="00EA6AC9" w:rsidRDefault="00EA6AC9" w:rsidP="00EA6AC9">
      <w:pPr>
        <w:pStyle w:val="ListParagraph"/>
        <w:widowControl w:val="0"/>
        <w:numPr>
          <w:ilvl w:val="0"/>
          <w:numId w:val="4"/>
        </w:numPr>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Community: Foundational to the Center’s vision was the creation of a community of library professionals interested in futures thinking. The Center’s newsletter and the symposium have helped to bring people together, but a sustained effort to encourage conversations, drive innovation, and spark a co-creator culture requires staff time and investment.</w:t>
      </w:r>
    </w:p>
    <w:p w14:paraId="6183D785" w14:textId="77777777" w:rsidR="00EA6AC9" w:rsidRPr="00EA6AC9" w:rsidRDefault="00EA6AC9" w:rsidP="00EA6AC9">
      <w:pPr>
        <w:widowControl w:val="0"/>
        <w:tabs>
          <w:tab w:val="left" w:pos="220"/>
          <w:tab w:val="left" w:pos="720"/>
        </w:tabs>
        <w:autoSpaceDE w:val="0"/>
        <w:autoSpaceDN w:val="0"/>
        <w:adjustRightInd w:val="0"/>
        <w:rPr>
          <w:rFonts w:eastAsiaTheme="minorHAnsi" w:cs="Helvetica Neue"/>
          <w:color w:val="242424"/>
          <w:sz w:val="22"/>
          <w:szCs w:val="22"/>
        </w:rPr>
      </w:pPr>
    </w:p>
    <w:p w14:paraId="3CD65562" w14:textId="21F790F7" w:rsidR="00EA6AC9" w:rsidRPr="00EA6AC9" w:rsidRDefault="00EA6AC9" w:rsidP="00EA6AC9">
      <w:pPr>
        <w:widowControl w:val="0"/>
        <w:tabs>
          <w:tab w:val="left" w:pos="220"/>
          <w:tab w:val="left" w:pos="720"/>
        </w:tabs>
        <w:autoSpaceDE w:val="0"/>
        <w:autoSpaceDN w:val="0"/>
        <w:adjustRightInd w:val="0"/>
        <w:rPr>
          <w:rFonts w:eastAsiaTheme="minorHAnsi" w:cs="Helvetica Neue"/>
          <w:color w:val="242424"/>
          <w:sz w:val="22"/>
          <w:szCs w:val="22"/>
        </w:rPr>
      </w:pPr>
      <w:r w:rsidRPr="00EA6AC9">
        <w:rPr>
          <w:rFonts w:eastAsiaTheme="minorHAnsi" w:cs="Helvetica Neue"/>
          <w:color w:val="242424"/>
          <w:sz w:val="22"/>
          <w:szCs w:val="22"/>
        </w:rPr>
        <w:t xml:space="preserve">With limited resources and staff, the Advisory Group is advocating for a specific focus on one of the priorities over the next year. </w:t>
      </w:r>
    </w:p>
    <w:p w14:paraId="69261ADB" w14:textId="77777777" w:rsidR="00C07298" w:rsidRPr="00EA6AC9" w:rsidRDefault="00C07298">
      <w:pPr>
        <w:rPr>
          <w:sz w:val="22"/>
          <w:szCs w:val="22"/>
        </w:rPr>
      </w:pPr>
    </w:p>
    <w:p w14:paraId="75E12171" w14:textId="77777777" w:rsidR="00C07298" w:rsidRPr="00EA6AC9" w:rsidRDefault="00C07298">
      <w:pPr>
        <w:rPr>
          <w:b/>
          <w:sz w:val="22"/>
          <w:szCs w:val="22"/>
        </w:rPr>
      </w:pPr>
      <w:r w:rsidRPr="00EA6AC9">
        <w:rPr>
          <w:rFonts w:cs="Times New Roman"/>
          <w:b/>
          <w:i/>
          <w:iCs/>
          <w:sz w:val="22"/>
          <w:szCs w:val="22"/>
        </w:rPr>
        <w:t>Identify emerging trends relevant to libraries and the communities they serve</w:t>
      </w:r>
    </w:p>
    <w:p w14:paraId="58CCDCBE" w14:textId="77777777" w:rsidR="00C07298" w:rsidRPr="00EA6AC9" w:rsidRDefault="00C07298">
      <w:pPr>
        <w:rPr>
          <w:sz w:val="22"/>
          <w:szCs w:val="22"/>
        </w:rPr>
      </w:pPr>
    </w:p>
    <w:p w14:paraId="463D460E" w14:textId="77777777" w:rsidR="00981CBE" w:rsidRPr="00EA6AC9" w:rsidRDefault="00981CBE">
      <w:pPr>
        <w:rPr>
          <w:i/>
          <w:sz w:val="22"/>
          <w:szCs w:val="22"/>
        </w:rPr>
      </w:pPr>
      <w:r w:rsidRPr="00EA6AC9">
        <w:rPr>
          <w:i/>
          <w:sz w:val="22"/>
          <w:szCs w:val="22"/>
        </w:rPr>
        <w:t xml:space="preserve">Trend Collection </w:t>
      </w:r>
    </w:p>
    <w:p w14:paraId="37B5698B" w14:textId="77777777" w:rsidR="00CA48C1" w:rsidRPr="00EA6AC9" w:rsidRDefault="00CA48C1">
      <w:pPr>
        <w:rPr>
          <w:sz w:val="22"/>
          <w:szCs w:val="22"/>
        </w:rPr>
      </w:pPr>
      <w:r w:rsidRPr="00EA6AC9">
        <w:rPr>
          <w:sz w:val="22"/>
          <w:szCs w:val="22"/>
        </w:rPr>
        <w:t xml:space="preserve">The Center’s primary tool for identifying trends relevant to libraries is an </w:t>
      </w:r>
      <w:hyperlink r:id="rId11" w:history="1">
        <w:r w:rsidRPr="00EA6AC9">
          <w:rPr>
            <w:rStyle w:val="Hyperlink"/>
            <w:sz w:val="22"/>
            <w:szCs w:val="22"/>
          </w:rPr>
          <w:t>online trend collection</w:t>
        </w:r>
      </w:hyperlink>
      <w:r w:rsidRPr="00EA6AC9">
        <w:rPr>
          <w:sz w:val="22"/>
          <w:szCs w:val="22"/>
        </w:rPr>
        <w:t xml:space="preserve"> that has proven popular for library professionals, planners, and supporters.</w:t>
      </w:r>
    </w:p>
    <w:p w14:paraId="459EC6E6" w14:textId="77777777" w:rsidR="004B39BE" w:rsidRPr="00EA6AC9" w:rsidRDefault="004B39BE">
      <w:pPr>
        <w:rPr>
          <w:sz w:val="22"/>
          <w:szCs w:val="22"/>
        </w:rPr>
      </w:pPr>
    </w:p>
    <w:p w14:paraId="1B104F8D" w14:textId="6CC985E6" w:rsidR="004B39BE" w:rsidRPr="00EA6AC9" w:rsidRDefault="006A12D4">
      <w:pPr>
        <w:rPr>
          <w:sz w:val="22"/>
          <w:szCs w:val="22"/>
        </w:rPr>
      </w:pPr>
      <w:r w:rsidRPr="00EA6AC9">
        <w:rPr>
          <w:sz w:val="22"/>
          <w:szCs w:val="22"/>
        </w:rPr>
        <w:t>Figure 1</w:t>
      </w:r>
      <w:r w:rsidR="004B39BE" w:rsidRPr="00EA6AC9">
        <w:rPr>
          <w:sz w:val="22"/>
          <w:szCs w:val="22"/>
        </w:rPr>
        <w:t xml:space="preserve"> – Trend Collection Usage (2015-2017)</w:t>
      </w:r>
    </w:p>
    <w:p w14:paraId="1C07A820" w14:textId="77777777" w:rsidR="00FC1678" w:rsidRDefault="00FC1678">
      <w:pPr>
        <w:rPr>
          <w:i/>
          <w:sz w:val="22"/>
          <w:szCs w:val="22"/>
        </w:rPr>
      </w:pPr>
    </w:p>
    <w:p w14:paraId="72CD342F" w14:textId="77777777" w:rsidR="00FC1678" w:rsidRDefault="00FC1678">
      <w:pPr>
        <w:rPr>
          <w:i/>
          <w:sz w:val="22"/>
          <w:szCs w:val="22"/>
        </w:rPr>
      </w:pPr>
    </w:p>
    <w:p w14:paraId="377DAA87" w14:textId="0BF08593" w:rsidR="00981CBE" w:rsidRPr="00EA6AC9" w:rsidRDefault="004B39BE">
      <w:pPr>
        <w:rPr>
          <w:sz w:val="22"/>
          <w:szCs w:val="22"/>
        </w:rPr>
      </w:pPr>
      <w:r w:rsidRPr="00EA6AC9">
        <w:rPr>
          <w:noProof/>
          <w:sz w:val="22"/>
          <w:szCs w:val="22"/>
        </w:rPr>
        <w:drawing>
          <wp:anchor distT="0" distB="0" distL="114300" distR="114300" simplePos="0" relativeHeight="251660288" behindDoc="0" locked="0" layoutInCell="1" allowOverlap="1" wp14:anchorId="01CD761F" wp14:editId="42394280">
            <wp:simplePos x="0" y="0"/>
            <wp:positionH relativeFrom="column">
              <wp:posOffset>0</wp:posOffset>
            </wp:positionH>
            <wp:positionV relativeFrom="paragraph">
              <wp:posOffset>0</wp:posOffset>
            </wp:positionV>
            <wp:extent cx="4572000" cy="2743200"/>
            <wp:effectExtent l="0" t="0" r="0" b="0"/>
            <wp:wrapTopAndBottom/>
            <wp:docPr id="1" name="Chart 1">
              <a:extLst xmlns:a="http://schemas.openxmlformats.org/drawingml/2006/main">
                <a:ext uri="{FF2B5EF4-FFF2-40B4-BE49-F238E27FC236}">
                  <a16:creationId xmlns:a16="http://schemas.microsoft.com/office/drawing/2014/main" id="{9AE5FCFD-C372-454B-91BB-5A323AB524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981CBE" w:rsidRPr="00EA6AC9">
        <w:rPr>
          <w:i/>
          <w:sz w:val="22"/>
          <w:szCs w:val="22"/>
        </w:rPr>
        <w:t>Libraries Transform</w:t>
      </w:r>
      <w:r w:rsidR="00981CBE" w:rsidRPr="00EA6AC9">
        <w:rPr>
          <w:sz w:val="22"/>
          <w:szCs w:val="22"/>
        </w:rPr>
        <w:t xml:space="preserve"> </w:t>
      </w:r>
    </w:p>
    <w:p w14:paraId="6B03CB0B" w14:textId="77777777" w:rsidR="00981CBE" w:rsidRPr="00EA6AC9" w:rsidRDefault="00981CBE">
      <w:pPr>
        <w:rPr>
          <w:sz w:val="22"/>
          <w:szCs w:val="22"/>
        </w:rPr>
      </w:pPr>
      <w:r w:rsidRPr="00EA6AC9">
        <w:rPr>
          <w:sz w:val="22"/>
          <w:szCs w:val="22"/>
        </w:rPr>
        <w:t xml:space="preserve">The Center’s trends have been featured as part of the </w:t>
      </w:r>
      <w:hyperlink r:id="rId13" w:history="1">
        <w:r w:rsidRPr="00EA6AC9">
          <w:rPr>
            <w:rStyle w:val="Hyperlink"/>
            <w:sz w:val="22"/>
            <w:szCs w:val="22"/>
          </w:rPr>
          <w:t>Libraries Transform</w:t>
        </w:r>
      </w:hyperlink>
      <w:r w:rsidRPr="00EA6AC9">
        <w:rPr>
          <w:sz w:val="22"/>
          <w:szCs w:val="22"/>
        </w:rPr>
        <w:t xml:space="preserve"> public awareness campaign. </w:t>
      </w:r>
    </w:p>
    <w:p w14:paraId="0B914236" w14:textId="77777777" w:rsidR="00981CBE" w:rsidRPr="00EA6AC9" w:rsidRDefault="00981CBE">
      <w:pPr>
        <w:rPr>
          <w:sz w:val="22"/>
          <w:szCs w:val="22"/>
        </w:rPr>
      </w:pPr>
    </w:p>
    <w:p w14:paraId="5EA5C398" w14:textId="77777777" w:rsidR="00981CBE" w:rsidRPr="00EA6AC9" w:rsidRDefault="00981CBE">
      <w:pPr>
        <w:rPr>
          <w:sz w:val="22"/>
          <w:szCs w:val="22"/>
        </w:rPr>
      </w:pPr>
      <w:r w:rsidRPr="00EA6AC9">
        <w:rPr>
          <w:sz w:val="22"/>
          <w:szCs w:val="22"/>
        </w:rPr>
        <w:lastRenderedPageBreak/>
        <w:t xml:space="preserve">Working with ALA’s Office for Library Advocacy and Public Awareness Office, </w:t>
      </w:r>
      <w:r w:rsidR="008E7DDA" w:rsidRPr="00EA6AC9">
        <w:rPr>
          <w:sz w:val="22"/>
          <w:szCs w:val="22"/>
        </w:rPr>
        <w:t xml:space="preserve">stories and examples from libraries have been included in trend entries to help illustrate the ways that libraries are </w:t>
      </w:r>
      <w:hyperlink r:id="rId14" w:history="1">
        <w:r w:rsidR="008E7DDA" w:rsidRPr="00EA6AC9">
          <w:rPr>
            <w:rStyle w:val="Hyperlink"/>
            <w:sz w:val="22"/>
            <w:szCs w:val="22"/>
          </w:rPr>
          <w:t>innovating with trends</w:t>
        </w:r>
      </w:hyperlink>
      <w:r w:rsidR="008E7DDA" w:rsidRPr="00EA6AC9">
        <w:rPr>
          <w:sz w:val="22"/>
          <w:szCs w:val="22"/>
        </w:rPr>
        <w:t xml:space="preserve"> and transforming their work to meet today’s users. </w:t>
      </w:r>
    </w:p>
    <w:p w14:paraId="184D7DFB" w14:textId="77777777" w:rsidR="00981CBE" w:rsidRPr="00EA6AC9" w:rsidRDefault="00981CBE">
      <w:pPr>
        <w:rPr>
          <w:i/>
          <w:sz w:val="22"/>
          <w:szCs w:val="22"/>
        </w:rPr>
      </w:pPr>
    </w:p>
    <w:p w14:paraId="6FE6BEE7" w14:textId="77777777" w:rsidR="009B6F02" w:rsidRPr="00EA6AC9" w:rsidRDefault="00981CBE">
      <w:pPr>
        <w:rPr>
          <w:sz w:val="22"/>
          <w:szCs w:val="22"/>
        </w:rPr>
      </w:pPr>
      <w:r w:rsidRPr="00EA6AC9">
        <w:rPr>
          <w:i/>
          <w:sz w:val="22"/>
          <w:szCs w:val="22"/>
        </w:rPr>
        <w:t>Read for Later Newsletter</w:t>
      </w:r>
      <w:r w:rsidRPr="00EA6AC9">
        <w:rPr>
          <w:sz w:val="22"/>
          <w:szCs w:val="22"/>
        </w:rPr>
        <w:br/>
      </w:r>
      <w:r w:rsidR="009B6F02" w:rsidRPr="00EA6AC9">
        <w:rPr>
          <w:sz w:val="22"/>
          <w:szCs w:val="22"/>
        </w:rPr>
        <w:t xml:space="preserve">At the request of Executive Director Keith Michael Fiels, the Center initiated a weekly </w:t>
      </w:r>
      <w:r w:rsidR="00B14137" w:rsidRPr="00EA6AC9">
        <w:rPr>
          <w:sz w:val="22"/>
          <w:szCs w:val="22"/>
        </w:rPr>
        <w:t>news scanning</w:t>
      </w:r>
      <w:r w:rsidR="009B6F02" w:rsidRPr="00EA6AC9">
        <w:rPr>
          <w:sz w:val="22"/>
          <w:szCs w:val="22"/>
        </w:rPr>
        <w:t xml:space="preserve"> update in September 2015. Read for Later has grown from a weekly blog post to an e-newsletter distributed via TinyLetter. </w:t>
      </w:r>
    </w:p>
    <w:p w14:paraId="02369105" w14:textId="77777777" w:rsidR="0096172B" w:rsidRPr="00EA6AC9" w:rsidRDefault="0096172B">
      <w:pPr>
        <w:rPr>
          <w:sz w:val="22"/>
          <w:szCs w:val="22"/>
        </w:rPr>
      </w:pPr>
    </w:p>
    <w:p w14:paraId="02660BEA" w14:textId="58F66EF3" w:rsidR="0096172B" w:rsidRPr="00EA6AC9" w:rsidRDefault="0096172B">
      <w:pPr>
        <w:rPr>
          <w:sz w:val="22"/>
          <w:szCs w:val="22"/>
        </w:rPr>
      </w:pPr>
      <w:r w:rsidRPr="00EA6AC9">
        <w:rPr>
          <w:sz w:val="22"/>
          <w:szCs w:val="22"/>
        </w:rPr>
        <w:t>From its subscri</w:t>
      </w:r>
      <w:r w:rsidR="00FC1678">
        <w:rPr>
          <w:sz w:val="22"/>
          <w:szCs w:val="22"/>
        </w:rPr>
        <w:t>ption page, Read for Later is “a</w:t>
      </w:r>
      <w:r w:rsidRPr="00EA6AC9">
        <w:rPr>
          <w:sz w:val="22"/>
          <w:szCs w:val="22"/>
        </w:rPr>
        <w:t xml:space="preserve"> weekly wrap-up of news and articles to help libraries think about the future of our collections, spaces, services, partners, and roles in the community.” The newsletter sees immediate unique open rates in the high-20% to mid-30% and longer-term unique open rates around 45%. As of June 20, the e-newsletter has 3,084 subscribers in addition to several hundred readers who access the weekly post via feed readers and other RSS subscriptions. </w:t>
      </w:r>
    </w:p>
    <w:p w14:paraId="1FE3D219" w14:textId="77777777" w:rsidR="00B14137" w:rsidRPr="00EA6AC9" w:rsidRDefault="00B14137">
      <w:pPr>
        <w:rPr>
          <w:sz w:val="22"/>
          <w:szCs w:val="22"/>
        </w:rPr>
      </w:pPr>
    </w:p>
    <w:p w14:paraId="01FFDB81" w14:textId="77777777" w:rsidR="00B14137" w:rsidRPr="00EA6AC9" w:rsidRDefault="006A12D4">
      <w:pPr>
        <w:rPr>
          <w:sz w:val="22"/>
          <w:szCs w:val="22"/>
        </w:rPr>
      </w:pPr>
      <w:r w:rsidRPr="00EA6AC9">
        <w:rPr>
          <w:sz w:val="22"/>
          <w:szCs w:val="22"/>
        </w:rPr>
        <w:t>Figure 2</w:t>
      </w:r>
      <w:r w:rsidR="00B14137" w:rsidRPr="00EA6AC9">
        <w:rPr>
          <w:sz w:val="22"/>
          <w:szCs w:val="22"/>
        </w:rPr>
        <w:t xml:space="preserve"> – Read for Later Email Subscription Growth (November 2015 – May 2017)</w:t>
      </w:r>
    </w:p>
    <w:p w14:paraId="4F948834" w14:textId="77777777" w:rsidR="00B14137" w:rsidRPr="00EA6AC9" w:rsidRDefault="00B14137">
      <w:pPr>
        <w:rPr>
          <w:sz w:val="22"/>
          <w:szCs w:val="22"/>
        </w:rPr>
      </w:pPr>
      <w:r w:rsidRPr="00EA6AC9">
        <w:rPr>
          <w:noProof/>
          <w:sz w:val="22"/>
          <w:szCs w:val="22"/>
        </w:rPr>
        <w:drawing>
          <wp:anchor distT="0" distB="0" distL="114300" distR="114300" simplePos="0" relativeHeight="251659264" behindDoc="0" locked="0" layoutInCell="1" allowOverlap="1" wp14:anchorId="29B90E08" wp14:editId="3B5C181B">
            <wp:simplePos x="0" y="0"/>
            <wp:positionH relativeFrom="column">
              <wp:posOffset>0</wp:posOffset>
            </wp:positionH>
            <wp:positionV relativeFrom="paragraph">
              <wp:posOffset>2540</wp:posOffset>
            </wp:positionV>
            <wp:extent cx="4572000" cy="2743200"/>
            <wp:effectExtent l="0" t="0" r="0" b="0"/>
            <wp:wrapTopAndBottom/>
            <wp:docPr id="2" name="Chart 2">
              <a:extLst xmlns:a="http://schemas.openxmlformats.org/drawingml/2006/main">
                <a:ext uri="{FF2B5EF4-FFF2-40B4-BE49-F238E27FC236}">
                  <a16:creationId xmlns:a16="http://schemas.microsoft.com/office/drawing/2014/main" id="{32BBCA7D-7A91-4900-9592-3C7514A30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A4AD9D6" w14:textId="77777777" w:rsidR="00FC1678" w:rsidRDefault="0096172B" w:rsidP="0096172B">
      <w:pPr>
        <w:widowControl w:val="0"/>
        <w:autoSpaceDE w:val="0"/>
        <w:autoSpaceDN w:val="0"/>
        <w:adjustRightInd w:val="0"/>
        <w:rPr>
          <w:rFonts w:cs="Helvetica Neue"/>
          <w:sz w:val="22"/>
          <w:szCs w:val="22"/>
          <w:u w:color="1A7DA5"/>
        </w:rPr>
      </w:pPr>
      <w:r w:rsidRPr="00EA6AC9">
        <w:rPr>
          <w:rFonts w:cs="Helvetica Neue"/>
          <w:sz w:val="22"/>
          <w:szCs w:val="22"/>
          <w:u w:color="1A7DA5"/>
        </w:rPr>
        <w:t>The Center launched a readers’ survey on September 12, 2016 to gather input about the newsletter’s usefulness and opportunities for improvement.</w:t>
      </w:r>
    </w:p>
    <w:p w14:paraId="672FE334" w14:textId="77777777" w:rsidR="00FC1678" w:rsidRDefault="0096172B" w:rsidP="0096172B">
      <w:pPr>
        <w:pStyle w:val="ListParagraph"/>
        <w:widowControl w:val="0"/>
        <w:numPr>
          <w:ilvl w:val="0"/>
          <w:numId w:val="5"/>
        </w:numPr>
        <w:autoSpaceDE w:val="0"/>
        <w:autoSpaceDN w:val="0"/>
        <w:adjustRightInd w:val="0"/>
        <w:rPr>
          <w:rFonts w:cs="Helvetica Neue"/>
          <w:sz w:val="22"/>
          <w:szCs w:val="22"/>
          <w:u w:color="1A7DA5"/>
        </w:rPr>
      </w:pPr>
      <w:r w:rsidRPr="00FC1678">
        <w:rPr>
          <w:rFonts w:cs="Helvetica Neue"/>
          <w:sz w:val="22"/>
          <w:szCs w:val="22"/>
          <w:u w:color="1A7DA5"/>
        </w:rPr>
        <w:t>For their own professional development or trend awareness, 47% of readers find the newsletter very useful and 39% find it useful.</w:t>
      </w:r>
    </w:p>
    <w:p w14:paraId="308EC4E7" w14:textId="77777777" w:rsidR="00FC1678" w:rsidRPr="00FC1678" w:rsidRDefault="0096172B" w:rsidP="0096172B">
      <w:pPr>
        <w:pStyle w:val="ListParagraph"/>
        <w:widowControl w:val="0"/>
        <w:numPr>
          <w:ilvl w:val="0"/>
          <w:numId w:val="5"/>
        </w:numPr>
        <w:autoSpaceDE w:val="0"/>
        <w:autoSpaceDN w:val="0"/>
        <w:adjustRightInd w:val="0"/>
        <w:rPr>
          <w:rFonts w:cs="Helvetica Neue"/>
          <w:sz w:val="22"/>
          <w:szCs w:val="22"/>
          <w:u w:color="1A7DA5"/>
        </w:rPr>
      </w:pPr>
      <w:r w:rsidRPr="00FC1678">
        <w:rPr>
          <w:sz w:val="22"/>
          <w:szCs w:val="22"/>
        </w:rPr>
        <w:t xml:space="preserve">For developing or considering new collections, partnerships, programs, services, or spaces, 22% of readers find the newsletter very useful and 40% find it useful. </w:t>
      </w:r>
    </w:p>
    <w:p w14:paraId="6E983A80" w14:textId="7024AD2E" w:rsidR="0096172B" w:rsidRPr="00FC1678" w:rsidRDefault="0096172B" w:rsidP="0096172B">
      <w:pPr>
        <w:pStyle w:val="ListParagraph"/>
        <w:widowControl w:val="0"/>
        <w:numPr>
          <w:ilvl w:val="0"/>
          <w:numId w:val="5"/>
        </w:numPr>
        <w:autoSpaceDE w:val="0"/>
        <w:autoSpaceDN w:val="0"/>
        <w:adjustRightInd w:val="0"/>
        <w:rPr>
          <w:rFonts w:cs="Helvetica Neue"/>
          <w:sz w:val="22"/>
          <w:szCs w:val="22"/>
          <w:u w:color="1A7DA5"/>
        </w:rPr>
      </w:pPr>
      <w:r w:rsidRPr="00FC1678">
        <w:rPr>
          <w:sz w:val="22"/>
          <w:szCs w:val="22"/>
        </w:rPr>
        <w:t xml:space="preserve">81% of newsletter readers </w:t>
      </w:r>
      <w:r w:rsidR="00981CBE" w:rsidRPr="00FC1678">
        <w:rPr>
          <w:sz w:val="22"/>
          <w:szCs w:val="22"/>
        </w:rPr>
        <w:t>have shared featured articles with colleagues or coworkers and 75</w:t>
      </w:r>
      <w:r w:rsidR="00FC1678" w:rsidRPr="00FC1678">
        <w:rPr>
          <w:sz w:val="22"/>
          <w:szCs w:val="22"/>
        </w:rPr>
        <w:t xml:space="preserve">% of </w:t>
      </w:r>
      <w:r w:rsidR="00981CBE" w:rsidRPr="00FC1678">
        <w:rPr>
          <w:sz w:val="22"/>
          <w:szCs w:val="22"/>
        </w:rPr>
        <w:t xml:space="preserve">readers have used content from the </w:t>
      </w:r>
      <w:r w:rsidRPr="00FC1678">
        <w:rPr>
          <w:sz w:val="22"/>
          <w:szCs w:val="22"/>
        </w:rPr>
        <w:t>newsletter in discussio</w:t>
      </w:r>
      <w:r w:rsidR="00981CBE" w:rsidRPr="00FC1678">
        <w:rPr>
          <w:sz w:val="22"/>
          <w:szCs w:val="22"/>
        </w:rPr>
        <w:t>ns with colleagues or coworkers.</w:t>
      </w:r>
    </w:p>
    <w:p w14:paraId="61093636" w14:textId="77777777" w:rsidR="00981CBE" w:rsidRPr="00EA6AC9" w:rsidRDefault="00981CBE" w:rsidP="0096172B">
      <w:pPr>
        <w:rPr>
          <w:sz w:val="22"/>
          <w:szCs w:val="22"/>
        </w:rPr>
      </w:pPr>
    </w:p>
    <w:p w14:paraId="39719D3E" w14:textId="77777777" w:rsidR="00981CBE" w:rsidRPr="00EA6AC9" w:rsidRDefault="00981CBE" w:rsidP="00981CBE">
      <w:pPr>
        <w:rPr>
          <w:rFonts w:cs="Times New Roman"/>
          <w:i/>
          <w:iCs/>
          <w:sz w:val="22"/>
          <w:szCs w:val="22"/>
        </w:rPr>
      </w:pPr>
      <w:r w:rsidRPr="00EA6AC9">
        <w:rPr>
          <w:rFonts w:cs="Times New Roman"/>
          <w:b/>
          <w:i/>
          <w:iCs/>
          <w:sz w:val="22"/>
          <w:szCs w:val="22"/>
        </w:rPr>
        <w:t xml:space="preserve">Promote </w:t>
      </w:r>
      <w:proofErr w:type="spellStart"/>
      <w:r w:rsidRPr="00EA6AC9">
        <w:rPr>
          <w:rFonts w:cs="Times New Roman"/>
          <w:b/>
          <w:i/>
          <w:iCs/>
          <w:sz w:val="22"/>
          <w:szCs w:val="22"/>
        </w:rPr>
        <w:t>futuring</w:t>
      </w:r>
      <w:proofErr w:type="spellEnd"/>
      <w:r w:rsidRPr="00EA6AC9">
        <w:rPr>
          <w:rFonts w:cs="Times New Roman"/>
          <w:b/>
          <w:i/>
          <w:iCs/>
          <w:sz w:val="22"/>
          <w:szCs w:val="22"/>
        </w:rPr>
        <w:t xml:space="preserve"> and innovation techniques to help librarians and library professionals shape their future.</w:t>
      </w:r>
    </w:p>
    <w:p w14:paraId="56AA3561" w14:textId="77777777" w:rsidR="00981CBE" w:rsidRPr="00EA6AC9" w:rsidRDefault="00981CBE" w:rsidP="00981CBE">
      <w:pPr>
        <w:rPr>
          <w:rFonts w:cs="Times New Roman"/>
          <w:i/>
          <w:iCs/>
          <w:sz w:val="22"/>
          <w:szCs w:val="22"/>
        </w:rPr>
      </w:pPr>
    </w:p>
    <w:p w14:paraId="5ACEAC9E" w14:textId="77777777" w:rsidR="00981CBE" w:rsidRPr="00EA6AC9" w:rsidRDefault="000D3809" w:rsidP="00981CBE">
      <w:pPr>
        <w:rPr>
          <w:rFonts w:cs="Times New Roman"/>
          <w:i/>
          <w:iCs/>
          <w:sz w:val="22"/>
          <w:szCs w:val="22"/>
        </w:rPr>
      </w:pPr>
      <w:r w:rsidRPr="00EA6AC9">
        <w:rPr>
          <w:rFonts w:cs="Times New Roman"/>
          <w:i/>
          <w:iCs/>
          <w:sz w:val="22"/>
          <w:szCs w:val="22"/>
        </w:rPr>
        <w:t>Programs and Presentations</w:t>
      </w:r>
    </w:p>
    <w:p w14:paraId="45C11632" w14:textId="77777777" w:rsidR="000D3809" w:rsidRPr="00EA6AC9" w:rsidRDefault="000D3809" w:rsidP="00981CBE">
      <w:pPr>
        <w:rPr>
          <w:rFonts w:cs="Times New Roman"/>
          <w:iCs/>
          <w:sz w:val="22"/>
          <w:szCs w:val="22"/>
        </w:rPr>
      </w:pPr>
      <w:r w:rsidRPr="00EA6AC9">
        <w:rPr>
          <w:rFonts w:cs="Times New Roman"/>
          <w:iCs/>
          <w:sz w:val="22"/>
          <w:szCs w:val="22"/>
        </w:rPr>
        <w:lastRenderedPageBreak/>
        <w:t xml:space="preserve">Through programs and presentations at libraries, state chapter and regional consortia meetings, and at programs for the public, the Center helps library professionals better understand how they can use </w:t>
      </w:r>
      <w:proofErr w:type="spellStart"/>
      <w:r w:rsidRPr="00EA6AC9">
        <w:rPr>
          <w:rFonts w:cs="Times New Roman"/>
          <w:iCs/>
          <w:sz w:val="22"/>
          <w:szCs w:val="22"/>
        </w:rPr>
        <w:t>futuring</w:t>
      </w:r>
      <w:proofErr w:type="spellEnd"/>
      <w:r w:rsidRPr="00EA6AC9">
        <w:rPr>
          <w:rFonts w:cs="Times New Roman"/>
          <w:iCs/>
          <w:sz w:val="22"/>
          <w:szCs w:val="22"/>
        </w:rPr>
        <w:t xml:space="preserve"> techniques to plan and innovate for the future of libraries. </w:t>
      </w:r>
    </w:p>
    <w:p w14:paraId="1B7D4C1D" w14:textId="77777777" w:rsidR="000D3809" w:rsidRPr="00EA6AC9" w:rsidRDefault="000D3809" w:rsidP="00981CBE">
      <w:pPr>
        <w:rPr>
          <w:rFonts w:cs="Times New Roman"/>
          <w:iCs/>
          <w:sz w:val="22"/>
          <w:szCs w:val="22"/>
        </w:rPr>
      </w:pPr>
    </w:p>
    <w:p w14:paraId="30DDC71B" w14:textId="77777777" w:rsidR="000D3809" w:rsidRPr="00EA6AC9" w:rsidRDefault="000D3809" w:rsidP="00981CBE">
      <w:pPr>
        <w:rPr>
          <w:rFonts w:cs="Times New Roman"/>
          <w:iCs/>
          <w:sz w:val="22"/>
          <w:szCs w:val="22"/>
        </w:rPr>
      </w:pPr>
      <w:r w:rsidRPr="00EA6AC9">
        <w:rPr>
          <w:rFonts w:cs="Times New Roman"/>
          <w:iCs/>
          <w:sz w:val="22"/>
          <w:szCs w:val="22"/>
        </w:rPr>
        <w:t xml:space="preserve">In Fiscal Year 2016, the Center provided 41 presentations to library staff and the public. In Fiscal Year 2017, the Center is scheduled to provide 49 presentations. </w:t>
      </w:r>
    </w:p>
    <w:p w14:paraId="472C3717" w14:textId="77777777" w:rsidR="000D3809" w:rsidRPr="00EA6AC9" w:rsidRDefault="000D3809" w:rsidP="00981CBE">
      <w:pPr>
        <w:rPr>
          <w:rFonts w:cs="Times New Roman"/>
          <w:iCs/>
          <w:sz w:val="22"/>
          <w:szCs w:val="22"/>
        </w:rPr>
      </w:pPr>
    </w:p>
    <w:p w14:paraId="064A56DC" w14:textId="77777777" w:rsidR="000D3809" w:rsidRPr="00EA6AC9" w:rsidRDefault="000D3809" w:rsidP="000D3809">
      <w:pPr>
        <w:rPr>
          <w:rFonts w:cs="Helvetica Neue"/>
          <w:color w:val="242424"/>
          <w:sz w:val="22"/>
          <w:szCs w:val="22"/>
        </w:rPr>
      </w:pPr>
      <w:r w:rsidRPr="00EA6AC9">
        <w:rPr>
          <w:rFonts w:cs="Helvetica Neue"/>
          <w:color w:val="242424"/>
          <w:sz w:val="22"/>
          <w:szCs w:val="22"/>
        </w:rPr>
        <w:t xml:space="preserve">In addition to lecture-style presentations introducing the Center’s approach to </w:t>
      </w:r>
      <w:proofErr w:type="spellStart"/>
      <w:r w:rsidRPr="00EA6AC9">
        <w:rPr>
          <w:rFonts w:cs="Helvetica Neue"/>
          <w:color w:val="242424"/>
          <w:sz w:val="22"/>
          <w:szCs w:val="22"/>
        </w:rPr>
        <w:t>futuring</w:t>
      </w:r>
      <w:proofErr w:type="spellEnd"/>
      <w:r w:rsidRPr="00EA6AC9">
        <w:rPr>
          <w:rFonts w:cs="Helvetica Neue"/>
          <w:color w:val="242424"/>
          <w:sz w:val="22"/>
          <w:szCs w:val="22"/>
        </w:rPr>
        <w:t xml:space="preserve"> and highlights from the trend collection, the Center is offering more interactive programs that help library professionals contextualize trends in their own work, apply library values, and propose innovations for the future of libraries. The Center has begun to make these </w:t>
      </w:r>
      <w:hyperlink r:id="rId16" w:history="1">
        <w:r w:rsidRPr="00EA6AC9">
          <w:rPr>
            <w:rStyle w:val="Hyperlink"/>
            <w:rFonts w:cs="Helvetica Neue"/>
            <w:sz w:val="22"/>
            <w:szCs w:val="22"/>
          </w:rPr>
          <w:t>materials available online</w:t>
        </w:r>
      </w:hyperlink>
      <w:r w:rsidRPr="00EA6AC9">
        <w:rPr>
          <w:rFonts w:cs="Helvetica Neue"/>
          <w:color w:val="242424"/>
          <w:sz w:val="22"/>
          <w:szCs w:val="22"/>
        </w:rPr>
        <w:t xml:space="preserve"> to expand their use across the profession.</w:t>
      </w:r>
    </w:p>
    <w:p w14:paraId="6CF2DFCE" w14:textId="77777777" w:rsidR="000D3809" w:rsidRPr="00EA6AC9" w:rsidRDefault="000D3809" w:rsidP="000D3809">
      <w:pPr>
        <w:rPr>
          <w:rFonts w:cs="Helvetica Neue"/>
          <w:color w:val="242424"/>
          <w:sz w:val="22"/>
          <w:szCs w:val="22"/>
        </w:rPr>
      </w:pPr>
    </w:p>
    <w:p w14:paraId="3C80D048" w14:textId="77777777" w:rsidR="0015128C" w:rsidRPr="00EA6AC9" w:rsidRDefault="0015128C" w:rsidP="0015128C">
      <w:pPr>
        <w:rPr>
          <w:rFonts w:cs="Times New Roman"/>
          <w:b/>
          <w:i/>
          <w:iCs/>
          <w:sz w:val="22"/>
          <w:szCs w:val="22"/>
        </w:rPr>
      </w:pPr>
      <w:r w:rsidRPr="00EA6AC9">
        <w:rPr>
          <w:rFonts w:cs="Times New Roman"/>
          <w:b/>
          <w:i/>
          <w:iCs/>
          <w:sz w:val="22"/>
          <w:szCs w:val="22"/>
        </w:rPr>
        <w:t>Build connections with experts and innovative thinkers to help libraries address emerging issues.</w:t>
      </w:r>
    </w:p>
    <w:p w14:paraId="34C32A1B" w14:textId="77777777" w:rsidR="0015128C" w:rsidRPr="00EA6AC9" w:rsidRDefault="0015128C" w:rsidP="0015128C">
      <w:pPr>
        <w:rPr>
          <w:rFonts w:cs="Times New Roman"/>
          <w:b/>
          <w:i/>
          <w:iCs/>
          <w:sz w:val="22"/>
          <w:szCs w:val="22"/>
        </w:rPr>
      </w:pPr>
    </w:p>
    <w:p w14:paraId="3E332061" w14:textId="77777777" w:rsidR="0015128C" w:rsidRPr="00EA6AC9" w:rsidRDefault="0015128C" w:rsidP="0015128C">
      <w:pPr>
        <w:rPr>
          <w:rFonts w:cs="Times New Roman"/>
          <w:iCs/>
          <w:sz w:val="22"/>
          <w:szCs w:val="22"/>
        </w:rPr>
      </w:pPr>
      <w:r w:rsidRPr="00EA6AC9">
        <w:rPr>
          <w:rFonts w:cs="Times New Roman"/>
          <w:i/>
          <w:iCs/>
          <w:sz w:val="22"/>
          <w:szCs w:val="22"/>
        </w:rPr>
        <w:t xml:space="preserve">Annual Conference and Midwinter Meetings </w:t>
      </w:r>
      <w:r w:rsidRPr="00EA6AC9">
        <w:rPr>
          <w:rFonts w:cs="Times New Roman"/>
          <w:i/>
          <w:iCs/>
          <w:sz w:val="22"/>
          <w:szCs w:val="22"/>
        </w:rPr>
        <w:br/>
      </w:r>
      <w:r w:rsidRPr="00EA6AC9">
        <w:rPr>
          <w:rFonts w:cs="Times New Roman"/>
          <w:iCs/>
          <w:sz w:val="22"/>
          <w:szCs w:val="22"/>
        </w:rPr>
        <w:t xml:space="preserve">The Center uses both the ALA Annual Conference and the Midwinter Meeting as opportunities to bring together experts and innovative thinkers. </w:t>
      </w:r>
    </w:p>
    <w:p w14:paraId="4A6E0985" w14:textId="77777777" w:rsidR="0015128C" w:rsidRPr="00EA6AC9" w:rsidRDefault="0015128C" w:rsidP="0015128C">
      <w:pPr>
        <w:rPr>
          <w:rFonts w:cs="Times New Roman"/>
          <w:iCs/>
          <w:sz w:val="22"/>
          <w:szCs w:val="22"/>
        </w:rPr>
      </w:pPr>
    </w:p>
    <w:p w14:paraId="7A701CD0" w14:textId="77777777" w:rsidR="0015128C" w:rsidRPr="00EA6AC9" w:rsidRDefault="0015128C" w:rsidP="0015128C">
      <w:pPr>
        <w:rPr>
          <w:rFonts w:cs="Times New Roman"/>
          <w:iCs/>
          <w:sz w:val="22"/>
          <w:szCs w:val="22"/>
        </w:rPr>
      </w:pPr>
      <w:r w:rsidRPr="00EA6AC9">
        <w:rPr>
          <w:rFonts w:cs="Times New Roman"/>
          <w:iCs/>
          <w:sz w:val="22"/>
          <w:szCs w:val="22"/>
        </w:rPr>
        <w:t>Programs at ALA Annual Conferences have included architects and designers (OPN Architects, Steelcase, Gensler), design thinking and lean start up coaches (</w:t>
      </w:r>
      <w:proofErr w:type="spellStart"/>
      <w:r w:rsidRPr="00EA6AC9">
        <w:rPr>
          <w:rFonts w:cs="Times New Roman"/>
          <w:iCs/>
          <w:sz w:val="22"/>
          <w:szCs w:val="22"/>
        </w:rPr>
        <w:t>LeadLocal</w:t>
      </w:r>
      <w:proofErr w:type="spellEnd"/>
      <w:r w:rsidRPr="00EA6AC9">
        <w:rPr>
          <w:rFonts w:cs="Times New Roman"/>
          <w:iCs/>
          <w:sz w:val="22"/>
          <w:szCs w:val="22"/>
        </w:rPr>
        <w:t xml:space="preserve">, </w:t>
      </w:r>
      <w:proofErr w:type="spellStart"/>
      <w:r w:rsidRPr="00EA6AC9">
        <w:rPr>
          <w:rFonts w:cs="Times New Roman"/>
          <w:iCs/>
          <w:sz w:val="22"/>
          <w:szCs w:val="22"/>
        </w:rPr>
        <w:t>Brandgarten</w:t>
      </w:r>
      <w:proofErr w:type="spellEnd"/>
      <w:r w:rsidRPr="00EA6AC9">
        <w:rPr>
          <w:rFonts w:cs="Times New Roman"/>
          <w:iCs/>
          <w:sz w:val="22"/>
          <w:szCs w:val="22"/>
        </w:rPr>
        <w:t xml:space="preserve">, Moves the Needle), futurists (Long Now Foundation), and technologists (Google, Raspberry Pi Foundation). </w:t>
      </w:r>
    </w:p>
    <w:p w14:paraId="3A0E4E2D" w14:textId="77777777" w:rsidR="0015128C" w:rsidRPr="00EA6AC9" w:rsidRDefault="0015128C" w:rsidP="0015128C">
      <w:pPr>
        <w:rPr>
          <w:rFonts w:cs="Times New Roman"/>
          <w:iCs/>
          <w:sz w:val="22"/>
          <w:szCs w:val="22"/>
        </w:rPr>
      </w:pPr>
    </w:p>
    <w:p w14:paraId="51D9DC81" w14:textId="77777777" w:rsidR="0015128C" w:rsidRPr="00EA6AC9" w:rsidRDefault="0015128C" w:rsidP="0015128C">
      <w:pPr>
        <w:rPr>
          <w:rFonts w:cs="Times New Roman"/>
          <w:i/>
          <w:iCs/>
          <w:sz w:val="22"/>
          <w:szCs w:val="22"/>
        </w:rPr>
      </w:pPr>
      <w:r w:rsidRPr="00EA6AC9">
        <w:rPr>
          <w:rFonts w:cs="Times New Roman"/>
          <w:iCs/>
          <w:sz w:val="22"/>
          <w:szCs w:val="22"/>
        </w:rPr>
        <w:t xml:space="preserve">Sessions at the ALA Midwinter Meetings have focused on change management (Kotter International) and civic (Boston’s Mayor’s Office of New Urban Mechanics) and social (Boston College’s Center for Social Innovation) innovation.  </w:t>
      </w:r>
      <w:r w:rsidRPr="00EA6AC9">
        <w:rPr>
          <w:rFonts w:cs="Times New Roman"/>
          <w:i/>
          <w:iCs/>
          <w:sz w:val="22"/>
          <w:szCs w:val="22"/>
        </w:rPr>
        <w:t xml:space="preserve"> </w:t>
      </w:r>
    </w:p>
    <w:p w14:paraId="2DED17A2" w14:textId="77777777" w:rsidR="000D3809" w:rsidRPr="00EA6AC9" w:rsidRDefault="000D3809" w:rsidP="000D3809">
      <w:pPr>
        <w:rPr>
          <w:rFonts w:cs="Helvetica Neue"/>
          <w:color w:val="242424"/>
          <w:sz w:val="22"/>
          <w:szCs w:val="22"/>
        </w:rPr>
      </w:pPr>
    </w:p>
    <w:p w14:paraId="7BB0625D" w14:textId="77777777" w:rsidR="0015128C" w:rsidRPr="00EA6AC9" w:rsidRDefault="0015128C" w:rsidP="00981CBE">
      <w:pPr>
        <w:rPr>
          <w:rFonts w:cs="Times New Roman"/>
          <w:i/>
          <w:iCs/>
          <w:sz w:val="22"/>
          <w:szCs w:val="22"/>
        </w:rPr>
      </w:pPr>
      <w:r w:rsidRPr="00EA6AC9">
        <w:rPr>
          <w:rFonts w:cs="Times New Roman"/>
          <w:i/>
          <w:iCs/>
          <w:sz w:val="22"/>
          <w:szCs w:val="22"/>
        </w:rPr>
        <w:t>Symposium on the Future of Libraries</w:t>
      </w:r>
    </w:p>
    <w:p w14:paraId="38BA72AF" w14:textId="77777777" w:rsidR="000D3809" w:rsidRPr="00EA6AC9" w:rsidRDefault="0015128C" w:rsidP="00981CBE">
      <w:pPr>
        <w:rPr>
          <w:rFonts w:cs="Times New Roman"/>
          <w:iCs/>
          <w:sz w:val="22"/>
          <w:szCs w:val="22"/>
        </w:rPr>
      </w:pPr>
      <w:r w:rsidRPr="00EA6AC9">
        <w:rPr>
          <w:rFonts w:cs="Times New Roman"/>
          <w:iCs/>
          <w:sz w:val="22"/>
          <w:szCs w:val="22"/>
        </w:rPr>
        <w:t xml:space="preserve">At the 2017 ALA Midwinter Meeting, the Center expanded content from its 2015 Midwinter offerings to launch a Symposium on the Future of Libraries. </w:t>
      </w:r>
    </w:p>
    <w:p w14:paraId="63CE88CD" w14:textId="77777777" w:rsidR="0015128C" w:rsidRPr="00EA6AC9" w:rsidRDefault="0015128C" w:rsidP="00981CBE">
      <w:pPr>
        <w:rPr>
          <w:rFonts w:cs="Times New Roman"/>
          <w:iCs/>
          <w:sz w:val="22"/>
          <w:szCs w:val="22"/>
        </w:rPr>
      </w:pPr>
    </w:p>
    <w:p w14:paraId="05630987" w14:textId="77777777" w:rsidR="0015128C" w:rsidRPr="00EA6AC9" w:rsidRDefault="0015128C" w:rsidP="00981CBE">
      <w:pPr>
        <w:rPr>
          <w:rFonts w:cs="Times New Roman"/>
          <w:iCs/>
          <w:sz w:val="22"/>
          <w:szCs w:val="22"/>
        </w:rPr>
      </w:pPr>
      <w:r w:rsidRPr="00EA6AC9">
        <w:rPr>
          <w:rFonts w:cs="Times New Roman"/>
          <w:iCs/>
          <w:sz w:val="22"/>
          <w:szCs w:val="22"/>
        </w:rPr>
        <w:t xml:space="preserve">The 2017 Symposium included three </w:t>
      </w:r>
      <w:hyperlink r:id="rId17" w:history="1">
        <w:r w:rsidRPr="00EA6AC9">
          <w:rPr>
            <w:rStyle w:val="Hyperlink"/>
            <w:rFonts w:cs="Times New Roman"/>
            <w:sz w:val="22"/>
            <w:szCs w:val="22"/>
          </w:rPr>
          <w:t>plenary sessions planned around themes of civic, social, and education innovation</w:t>
        </w:r>
      </w:hyperlink>
      <w:r w:rsidRPr="00EA6AC9">
        <w:rPr>
          <w:rFonts w:cs="Times New Roman"/>
          <w:iCs/>
          <w:sz w:val="22"/>
          <w:szCs w:val="22"/>
        </w:rPr>
        <w:t xml:space="preserve"> as well as </w:t>
      </w:r>
      <w:hyperlink r:id="rId18" w:history="1">
        <w:r w:rsidRPr="00EA6AC9">
          <w:rPr>
            <w:rStyle w:val="Hyperlink"/>
            <w:rFonts w:cs="Times New Roman"/>
            <w:sz w:val="22"/>
            <w:szCs w:val="22"/>
          </w:rPr>
          <w:t>25 concurrent sessions</w:t>
        </w:r>
      </w:hyperlink>
      <w:r w:rsidRPr="00EA6AC9">
        <w:rPr>
          <w:rFonts w:cs="Times New Roman"/>
          <w:iCs/>
          <w:sz w:val="22"/>
          <w:szCs w:val="22"/>
        </w:rPr>
        <w:t xml:space="preserve"> spread across three days.  </w:t>
      </w:r>
    </w:p>
    <w:p w14:paraId="4371267B" w14:textId="77777777" w:rsidR="0015128C" w:rsidRPr="00EA6AC9" w:rsidRDefault="0015128C" w:rsidP="00981CBE">
      <w:pPr>
        <w:rPr>
          <w:rFonts w:cs="Times New Roman"/>
          <w:iCs/>
          <w:sz w:val="22"/>
          <w:szCs w:val="22"/>
        </w:rPr>
      </w:pPr>
    </w:p>
    <w:p w14:paraId="66DE1D7D" w14:textId="77777777" w:rsidR="0015128C" w:rsidRPr="00EA6AC9" w:rsidRDefault="0015128C" w:rsidP="0015128C">
      <w:pPr>
        <w:rPr>
          <w:rFonts w:cs="Times New Roman"/>
          <w:iCs/>
          <w:sz w:val="22"/>
          <w:szCs w:val="22"/>
        </w:rPr>
      </w:pPr>
      <w:r w:rsidRPr="00EA6AC9">
        <w:rPr>
          <w:rFonts w:cs="Times New Roman"/>
          <w:iCs/>
          <w:sz w:val="22"/>
          <w:szCs w:val="22"/>
        </w:rPr>
        <w:t xml:space="preserve">Plenary sessions were well attended and many of the concurrent sessions were standing room only.  </w:t>
      </w:r>
    </w:p>
    <w:p w14:paraId="721E3852" w14:textId="77777777" w:rsidR="0015128C" w:rsidRPr="00EA6AC9" w:rsidRDefault="0015128C" w:rsidP="0015128C">
      <w:pPr>
        <w:rPr>
          <w:rFonts w:cs="Times New Roman"/>
          <w:iCs/>
          <w:sz w:val="22"/>
          <w:szCs w:val="22"/>
        </w:rPr>
      </w:pPr>
    </w:p>
    <w:p w14:paraId="0C63A1EC" w14:textId="77777777" w:rsidR="0015128C" w:rsidRPr="00EA6AC9" w:rsidRDefault="0015128C" w:rsidP="0015128C">
      <w:pPr>
        <w:rPr>
          <w:rFonts w:cs="Times New Roman"/>
          <w:iCs/>
          <w:sz w:val="22"/>
          <w:szCs w:val="22"/>
        </w:rPr>
      </w:pPr>
      <w:r w:rsidRPr="00EA6AC9">
        <w:rPr>
          <w:rFonts w:cs="Times New Roman"/>
          <w:iCs/>
          <w:sz w:val="22"/>
          <w:szCs w:val="22"/>
        </w:rPr>
        <w:t>While response to a survey seeking Symposium attendee feedback was low, those who did respond shared generally favorable feedback. Plenary sessions received positive reviews - 39% of respondents rated sessions as Excellent and 46% Good. Across the concurrent sessions, there were equally positive reviews - 58% of respondents rated sessions as Excellent and 29% Good.</w:t>
      </w:r>
    </w:p>
    <w:p w14:paraId="65477F39" w14:textId="77777777" w:rsidR="0015128C" w:rsidRPr="00EA6AC9" w:rsidRDefault="0015128C" w:rsidP="0015128C">
      <w:pPr>
        <w:rPr>
          <w:rFonts w:cs="Times New Roman"/>
          <w:iCs/>
          <w:sz w:val="22"/>
          <w:szCs w:val="22"/>
        </w:rPr>
      </w:pPr>
    </w:p>
    <w:p w14:paraId="02E89929" w14:textId="77777777" w:rsidR="0039271D" w:rsidRPr="00EA6AC9" w:rsidRDefault="0039271D" w:rsidP="0015128C">
      <w:pPr>
        <w:rPr>
          <w:rFonts w:cs="Times New Roman"/>
          <w:i/>
          <w:iCs/>
          <w:sz w:val="22"/>
          <w:szCs w:val="22"/>
        </w:rPr>
      </w:pPr>
      <w:r w:rsidRPr="00EA6AC9">
        <w:rPr>
          <w:rFonts w:cs="Times New Roman"/>
          <w:i/>
          <w:iCs/>
          <w:sz w:val="22"/>
          <w:szCs w:val="22"/>
        </w:rPr>
        <w:t>Future of Libraries Fellowship</w:t>
      </w:r>
    </w:p>
    <w:p w14:paraId="30485924" w14:textId="77777777" w:rsidR="0039271D" w:rsidRPr="00EA6AC9" w:rsidRDefault="0039271D" w:rsidP="0039271D">
      <w:pPr>
        <w:rPr>
          <w:rFonts w:cs="Times New Roman"/>
          <w:iCs/>
          <w:sz w:val="22"/>
          <w:szCs w:val="22"/>
        </w:rPr>
      </w:pPr>
      <w:r w:rsidRPr="00EA6AC9">
        <w:rPr>
          <w:rFonts w:cs="Times New Roman"/>
          <w:iCs/>
          <w:sz w:val="22"/>
          <w:szCs w:val="22"/>
        </w:rPr>
        <w:t xml:space="preserve">The Future of Libraries Fellowship provides $10,000 for an individual (or group) to advance new ideas and perspectives for the future of libraries through the creation of a public product (report, white paper, resource, tool) that will help library professionals envision the future of library collections, partnerships, services, spaces, or technologies. </w:t>
      </w:r>
    </w:p>
    <w:p w14:paraId="62908A1A" w14:textId="77777777" w:rsidR="0039271D" w:rsidRPr="00EA6AC9" w:rsidRDefault="0039271D" w:rsidP="0039271D">
      <w:pPr>
        <w:rPr>
          <w:rFonts w:cs="Times New Roman"/>
          <w:iCs/>
          <w:sz w:val="22"/>
          <w:szCs w:val="22"/>
        </w:rPr>
      </w:pPr>
    </w:p>
    <w:p w14:paraId="5E0EF7FC" w14:textId="77777777" w:rsidR="0039271D" w:rsidRPr="00EA6AC9" w:rsidRDefault="0039271D" w:rsidP="0039271D">
      <w:pPr>
        <w:rPr>
          <w:rFonts w:cs="Times New Roman"/>
          <w:iCs/>
          <w:sz w:val="22"/>
          <w:szCs w:val="22"/>
        </w:rPr>
      </w:pPr>
      <w:r w:rsidRPr="00EA6AC9">
        <w:rPr>
          <w:rFonts w:cs="Times New Roman"/>
          <w:iCs/>
          <w:sz w:val="22"/>
          <w:szCs w:val="22"/>
        </w:rPr>
        <w:t>Offered for the first time in 2017, the Center received 55 completed applications.</w:t>
      </w:r>
    </w:p>
    <w:p w14:paraId="7F4C7801" w14:textId="77777777" w:rsidR="0039271D" w:rsidRPr="00EA6AC9" w:rsidRDefault="0039271D" w:rsidP="0039271D">
      <w:pPr>
        <w:rPr>
          <w:rFonts w:cs="Times New Roman"/>
          <w:iCs/>
          <w:sz w:val="22"/>
          <w:szCs w:val="22"/>
        </w:rPr>
      </w:pPr>
    </w:p>
    <w:p w14:paraId="33A4A910" w14:textId="1F649207" w:rsidR="0039271D" w:rsidRPr="00EA6AC9" w:rsidRDefault="0039271D" w:rsidP="0039271D">
      <w:pPr>
        <w:rPr>
          <w:rFonts w:cs="Times New Roman"/>
          <w:iCs/>
          <w:sz w:val="22"/>
          <w:szCs w:val="22"/>
        </w:rPr>
      </w:pPr>
      <w:r w:rsidRPr="00EA6AC9">
        <w:rPr>
          <w:rFonts w:cs="Times New Roman"/>
          <w:iCs/>
          <w:sz w:val="22"/>
          <w:szCs w:val="22"/>
        </w:rPr>
        <w:t>Joe J. Márqu</w:t>
      </w:r>
      <w:r w:rsidR="00EA6AC9">
        <w:rPr>
          <w:rFonts w:cs="Times New Roman"/>
          <w:iCs/>
          <w:sz w:val="22"/>
          <w:szCs w:val="22"/>
        </w:rPr>
        <w:t>ez and Annie Downey, both of</w:t>
      </w:r>
      <w:r w:rsidRPr="00EA6AC9">
        <w:rPr>
          <w:rFonts w:cs="Times New Roman"/>
          <w:iCs/>
          <w:sz w:val="22"/>
          <w:szCs w:val="22"/>
        </w:rPr>
        <w:t xml:space="preserve"> Reed College Library, were selected for the</w:t>
      </w:r>
    </w:p>
    <w:p w14:paraId="4EF69777" w14:textId="77777777" w:rsidR="0015128C" w:rsidRPr="00EA6AC9" w:rsidRDefault="0039271D" w:rsidP="0039271D">
      <w:pPr>
        <w:rPr>
          <w:rFonts w:cs="Times New Roman"/>
          <w:iCs/>
          <w:sz w:val="22"/>
          <w:szCs w:val="22"/>
        </w:rPr>
      </w:pPr>
      <w:r w:rsidRPr="00EA6AC9">
        <w:rPr>
          <w:rFonts w:cs="Times New Roman"/>
          <w:iCs/>
          <w:sz w:val="22"/>
          <w:szCs w:val="22"/>
        </w:rPr>
        <w:t>first-ever Future of Libraries Fellowship (</w:t>
      </w:r>
      <w:hyperlink r:id="rId19" w:history="1">
        <w:r w:rsidRPr="00EA6AC9">
          <w:rPr>
            <w:rStyle w:val="Hyperlink"/>
            <w:rFonts w:cs="Times New Roman"/>
            <w:sz w:val="22"/>
            <w:szCs w:val="22"/>
          </w:rPr>
          <w:t>ALA Press Release</w:t>
        </w:r>
      </w:hyperlink>
      <w:r w:rsidRPr="00EA6AC9">
        <w:rPr>
          <w:rFonts w:cs="Times New Roman"/>
          <w:iCs/>
          <w:sz w:val="22"/>
          <w:szCs w:val="22"/>
        </w:rPr>
        <w:t>). Márquez and Downey will use support from the Fellowship to expand their library service design heuristics to help professionals across library environments address emerging technologies and services as well as improve traditional library programs, services, and collections.</w:t>
      </w:r>
      <w:r w:rsidR="0015128C" w:rsidRPr="00EA6AC9">
        <w:rPr>
          <w:rFonts w:cs="Times New Roman"/>
          <w:iCs/>
          <w:sz w:val="22"/>
          <w:szCs w:val="22"/>
        </w:rPr>
        <w:t xml:space="preserve"> </w:t>
      </w:r>
    </w:p>
    <w:p w14:paraId="651D8319" w14:textId="77777777" w:rsidR="0039271D" w:rsidRPr="00EA6AC9" w:rsidRDefault="0039271D" w:rsidP="0096172B">
      <w:pPr>
        <w:rPr>
          <w:sz w:val="22"/>
          <w:szCs w:val="22"/>
        </w:rPr>
      </w:pPr>
    </w:p>
    <w:p w14:paraId="383B523D" w14:textId="77777777" w:rsidR="0096172B" w:rsidRPr="00EA6AC9" w:rsidRDefault="0039271D" w:rsidP="0096172B">
      <w:pPr>
        <w:rPr>
          <w:i/>
          <w:sz w:val="22"/>
          <w:szCs w:val="22"/>
        </w:rPr>
      </w:pPr>
      <w:r w:rsidRPr="00EA6AC9">
        <w:rPr>
          <w:i/>
          <w:sz w:val="22"/>
          <w:szCs w:val="22"/>
        </w:rPr>
        <w:t>Grants and Partnerships</w:t>
      </w:r>
      <w:r w:rsidR="0096172B" w:rsidRPr="00EA6AC9">
        <w:rPr>
          <w:i/>
          <w:sz w:val="22"/>
          <w:szCs w:val="22"/>
        </w:rPr>
        <w:t xml:space="preserve"> </w:t>
      </w:r>
    </w:p>
    <w:p w14:paraId="56CEC72D" w14:textId="77777777" w:rsidR="009B6F02" w:rsidRPr="00EA6AC9" w:rsidRDefault="00C87BF3">
      <w:pPr>
        <w:rPr>
          <w:sz w:val="22"/>
          <w:szCs w:val="22"/>
        </w:rPr>
      </w:pPr>
      <w:r w:rsidRPr="00EA6AC9">
        <w:rPr>
          <w:sz w:val="22"/>
          <w:szCs w:val="22"/>
        </w:rPr>
        <w:t>The Center has benefited from its inclusion in grants and partnerships addressing diverse issues.</w:t>
      </w:r>
    </w:p>
    <w:p w14:paraId="55BBDB18" w14:textId="77777777" w:rsidR="00C87BF3" w:rsidRPr="00EA6AC9" w:rsidRDefault="00C87BF3">
      <w:pPr>
        <w:rPr>
          <w:sz w:val="22"/>
          <w:szCs w:val="22"/>
        </w:rPr>
      </w:pPr>
    </w:p>
    <w:p w14:paraId="22D10814" w14:textId="77777777" w:rsidR="00C87BF3" w:rsidRPr="00EA6AC9" w:rsidRDefault="00C87BF3" w:rsidP="00C87BF3">
      <w:pPr>
        <w:rPr>
          <w:sz w:val="22"/>
          <w:szCs w:val="22"/>
        </w:rPr>
      </w:pPr>
      <w:r w:rsidRPr="00EA6AC9">
        <w:rPr>
          <w:sz w:val="22"/>
          <w:szCs w:val="22"/>
        </w:rPr>
        <w:t>In December 2014, the Center for the Future of Libraries’ proposal for an ASAE Innovation Grant was selected as one of four projects to receive a $10,000 grant.</w:t>
      </w:r>
    </w:p>
    <w:p w14:paraId="482FB15F" w14:textId="77777777" w:rsidR="00C87BF3" w:rsidRPr="00EA6AC9" w:rsidRDefault="00C87BF3">
      <w:pPr>
        <w:rPr>
          <w:sz w:val="22"/>
          <w:szCs w:val="22"/>
        </w:rPr>
      </w:pPr>
    </w:p>
    <w:p w14:paraId="68B455A3" w14:textId="77777777" w:rsidR="00C87BF3" w:rsidRPr="00EA6AC9" w:rsidRDefault="00C87BF3" w:rsidP="00C87BF3">
      <w:pPr>
        <w:rPr>
          <w:sz w:val="22"/>
          <w:szCs w:val="22"/>
        </w:rPr>
      </w:pPr>
      <w:r w:rsidRPr="00EA6AC9">
        <w:rPr>
          <w:sz w:val="22"/>
          <w:szCs w:val="22"/>
        </w:rPr>
        <w:t>In September 2016, the Center was included as a partner in the University of Maryland’s</w:t>
      </w:r>
    </w:p>
    <w:p w14:paraId="69463D08" w14:textId="77777777" w:rsidR="00C87BF3" w:rsidRPr="00EA6AC9" w:rsidRDefault="00C87BF3" w:rsidP="00C87BF3">
      <w:pPr>
        <w:rPr>
          <w:sz w:val="22"/>
          <w:szCs w:val="22"/>
        </w:rPr>
      </w:pPr>
      <w:r w:rsidRPr="00EA6AC9">
        <w:rPr>
          <w:sz w:val="22"/>
          <w:szCs w:val="22"/>
        </w:rPr>
        <w:t>IMLS-funded project “Enhancing Digital Privacy and Security Skills for Low-SES Families:</w:t>
      </w:r>
    </w:p>
    <w:p w14:paraId="46A04E8C" w14:textId="77777777" w:rsidR="00C87BF3" w:rsidRPr="00EA6AC9" w:rsidRDefault="00C87BF3" w:rsidP="00C87BF3">
      <w:pPr>
        <w:rPr>
          <w:sz w:val="22"/>
          <w:szCs w:val="22"/>
        </w:rPr>
      </w:pPr>
      <w:r w:rsidRPr="00EA6AC9">
        <w:rPr>
          <w:sz w:val="22"/>
          <w:szCs w:val="22"/>
        </w:rPr>
        <w:t>Resources for Information Intermediaries.”</w:t>
      </w:r>
    </w:p>
    <w:p w14:paraId="0EF22741" w14:textId="77777777" w:rsidR="00C87BF3" w:rsidRPr="00EA6AC9" w:rsidRDefault="00C87BF3" w:rsidP="00C87BF3">
      <w:pPr>
        <w:rPr>
          <w:sz w:val="22"/>
          <w:szCs w:val="22"/>
        </w:rPr>
      </w:pPr>
    </w:p>
    <w:p w14:paraId="7AD8ACA5" w14:textId="77777777" w:rsidR="00C87BF3" w:rsidRPr="00EA6AC9" w:rsidRDefault="00C87BF3" w:rsidP="00C87BF3">
      <w:pPr>
        <w:rPr>
          <w:sz w:val="22"/>
          <w:szCs w:val="22"/>
        </w:rPr>
      </w:pPr>
      <w:r w:rsidRPr="00EA6AC9">
        <w:rPr>
          <w:sz w:val="22"/>
          <w:szCs w:val="22"/>
        </w:rPr>
        <w:t>In January 2017, the Center was included as a partner with the Association of College and Research Libraries in their successful application for a Mellon/ACLS Public Fellow (</w:t>
      </w:r>
      <w:hyperlink r:id="rId20" w:history="1">
        <w:r w:rsidRPr="00EA6AC9">
          <w:rPr>
            <w:rStyle w:val="Hyperlink"/>
            <w:sz w:val="22"/>
            <w:szCs w:val="22"/>
          </w:rPr>
          <w:t>ALA Press Release</w:t>
        </w:r>
      </w:hyperlink>
      <w:r w:rsidRPr="00EA6AC9">
        <w:rPr>
          <w:sz w:val="22"/>
          <w:szCs w:val="22"/>
        </w:rPr>
        <w:t xml:space="preserve">). </w:t>
      </w:r>
    </w:p>
    <w:p w14:paraId="65643372" w14:textId="77777777" w:rsidR="00C87BF3" w:rsidRPr="00EA6AC9" w:rsidRDefault="00C87BF3" w:rsidP="00C87BF3">
      <w:pPr>
        <w:rPr>
          <w:sz w:val="22"/>
          <w:szCs w:val="22"/>
        </w:rPr>
      </w:pPr>
    </w:p>
    <w:p w14:paraId="50167FD8" w14:textId="77777777" w:rsidR="00C87BF3" w:rsidRPr="00EA6AC9" w:rsidRDefault="00C87BF3" w:rsidP="00C87BF3">
      <w:pPr>
        <w:rPr>
          <w:sz w:val="22"/>
          <w:szCs w:val="22"/>
        </w:rPr>
      </w:pPr>
      <w:r w:rsidRPr="00EA6AC9">
        <w:rPr>
          <w:sz w:val="22"/>
          <w:szCs w:val="22"/>
        </w:rPr>
        <w:t>In April 2017, the Center was included as a partner in two grants approved for full proposal submissions to IMLS - with San Jose State University’s School of Information for “Investigation of Possible Uses of Blockchain Technology by Libraries-Information Centers to Support City Community Goals” and with the Center for Technology in Government, State University of New York at Albany, for “Enabling Smart, Inclusive, and Connected Communities: The Role of Public</w:t>
      </w:r>
    </w:p>
    <w:p w14:paraId="0A335CBC" w14:textId="77777777" w:rsidR="00C87BF3" w:rsidRPr="00EA6AC9" w:rsidRDefault="00C87BF3" w:rsidP="00C87BF3">
      <w:pPr>
        <w:rPr>
          <w:sz w:val="22"/>
          <w:szCs w:val="22"/>
        </w:rPr>
      </w:pPr>
      <w:r w:rsidRPr="00EA6AC9">
        <w:rPr>
          <w:sz w:val="22"/>
          <w:szCs w:val="22"/>
        </w:rPr>
        <w:t>Libraries.”</w:t>
      </w:r>
    </w:p>
    <w:p w14:paraId="6F7954E9" w14:textId="77777777" w:rsidR="009B6F02" w:rsidRPr="00EA6AC9" w:rsidRDefault="009B6F02">
      <w:pPr>
        <w:rPr>
          <w:sz w:val="22"/>
          <w:szCs w:val="22"/>
        </w:rPr>
      </w:pPr>
    </w:p>
    <w:sectPr w:rsidR="009B6F02" w:rsidRPr="00EA6AC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D8204" w14:textId="77777777" w:rsidR="00285A6C" w:rsidRDefault="00285A6C" w:rsidP="00285A6C">
      <w:r>
        <w:separator/>
      </w:r>
    </w:p>
  </w:endnote>
  <w:endnote w:type="continuationSeparator" w:id="0">
    <w:p w14:paraId="3307AAB6" w14:textId="77777777" w:rsidR="00285A6C" w:rsidRDefault="00285A6C" w:rsidP="0028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300363"/>
      <w:docPartObj>
        <w:docPartGallery w:val="Page Numbers (Bottom of Page)"/>
        <w:docPartUnique/>
      </w:docPartObj>
    </w:sdtPr>
    <w:sdtEndPr>
      <w:rPr>
        <w:noProof/>
      </w:rPr>
    </w:sdtEndPr>
    <w:sdtContent>
      <w:p w14:paraId="5A883B3D" w14:textId="2871F685" w:rsidR="00285A6C" w:rsidRDefault="00285A6C">
        <w:pPr>
          <w:pStyle w:val="Footer"/>
          <w:jc w:val="center"/>
        </w:pPr>
        <w:r>
          <w:fldChar w:fldCharType="begin"/>
        </w:r>
        <w:r>
          <w:instrText xml:space="preserve"> PAGE   \* MERGEFORMAT </w:instrText>
        </w:r>
        <w:r>
          <w:fldChar w:fldCharType="separate"/>
        </w:r>
        <w:r w:rsidR="00B56ECB">
          <w:rPr>
            <w:noProof/>
          </w:rPr>
          <w:t>1</w:t>
        </w:r>
        <w:r>
          <w:rPr>
            <w:noProof/>
          </w:rPr>
          <w:fldChar w:fldCharType="end"/>
        </w:r>
      </w:p>
    </w:sdtContent>
  </w:sdt>
  <w:p w14:paraId="5A5FCDCB" w14:textId="77777777" w:rsidR="00285A6C" w:rsidRDefault="00285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9B94E" w14:textId="77777777" w:rsidR="00285A6C" w:rsidRDefault="00285A6C" w:rsidP="00285A6C">
      <w:r>
        <w:separator/>
      </w:r>
    </w:p>
  </w:footnote>
  <w:footnote w:type="continuationSeparator" w:id="0">
    <w:p w14:paraId="08103C00" w14:textId="77777777" w:rsidR="00285A6C" w:rsidRDefault="00285A6C" w:rsidP="00285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6627FD"/>
    <w:multiLevelType w:val="hybridMultilevel"/>
    <w:tmpl w:val="7884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06504"/>
    <w:multiLevelType w:val="hybridMultilevel"/>
    <w:tmpl w:val="100E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00CE9"/>
    <w:multiLevelType w:val="hybridMultilevel"/>
    <w:tmpl w:val="1102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C4B42"/>
    <w:multiLevelType w:val="hybridMultilevel"/>
    <w:tmpl w:val="CDBC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98"/>
    <w:rsid w:val="00015B81"/>
    <w:rsid w:val="000D3809"/>
    <w:rsid w:val="001224B3"/>
    <w:rsid w:val="0015128C"/>
    <w:rsid w:val="00263AAD"/>
    <w:rsid w:val="00285A6C"/>
    <w:rsid w:val="0039271D"/>
    <w:rsid w:val="0040743E"/>
    <w:rsid w:val="00482515"/>
    <w:rsid w:val="004B39BE"/>
    <w:rsid w:val="00607D14"/>
    <w:rsid w:val="006A12D4"/>
    <w:rsid w:val="007805A9"/>
    <w:rsid w:val="008E7DDA"/>
    <w:rsid w:val="0096172B"/>
    <w:rsid w:val="00981CBE"/>
    <w:rsid w:val="009B6F02"/>
    <w:rsid w:val="00A4157E"/>
    <w:rsid w:val="00A8493D"/>
    <w:rsid w:val="00AF0473"/>
    <w:rsid w:val="00B14137"/>
    <w:rsid w:val="00B56ECB"/>
    <w:rsid w:val="00B96FBA"/>
    <w:rsid w:val="00C07298"/>
    <w:rsid w:val="00C348E2"/>
    <w:rsid w:val="00C87BF3"/>
    <w:rsid w:val="00CA48C1"/>
    <w:rsid w:val="00D13E46"/>
    <w:rsid w:val="00DA5854"/>
    <w:rsid w:val="00DD154F"/>
    <w:rsid w:val="00EA6AC9"/>
    <w:rsid w:val="00EE5A96"/>
    <w:rsid w:val="00FC1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521AF"/>
  <w15:docId w15:val="{DA6666E6-1701-406A-AB50-F74A7C38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E4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298"/>
    <w:pPr>
      <w:ind w:left="720"/>
      <w:contextualSpacing/>
    </w:pPr>
  </w:style>
  <w:style w:type="paragraph" w:styleId="BodyTextIndent">
    <w:name w:val="Body Text Indent"/>
    <w:basedOn w:val="Normal"/>
    <w:link w:val="BodyTextIndentChar"/>
    <w:rsid w:val="00C07298"/>
    <w:pPr>
      <w:ind w:left="2160" w:hanging="720"/>
    </w:pPr>
    <w:rPr>
      <w:rFonts w:ascii="Times New Roman" w:eastAsia="Times New Roman" w:hAnsi="Times New Roman" w:cs="Times New Roman"/>
      <w:i/>
      <w:szCs w:val="20"/>
    </w:rPr>
  </w:style>
  <w:style w:type="character" w:customStyle="1" w:styleId="BodyTextIndentChar">
    <w:name w:val="Body Text Indent Char"/>
    <w:basedOn w:val="DefaultParagraphFont"/>
    <w:link w:val="BodyTextIndent"/>
    <w:rsid w:val="00C07298"/>
    <w:rPr>
      <w:rFonts w:ascii="Times New Roman" w:eastAsia="Times New Roman" w:hAnsi="Times New Roman" w:cs="Times New Roman"/>
      <w:i/>
      <w:sz w:val="24"/>
      <w:szCs w:val="20"/>
    </w:rPr>
  </w:style>
  <w:style w:type="character" w:styleId="Hyperlink">
    <w:name w:val="Hyperlink"/>
    <w:basedOn w:val="DefaultParagraphFont"/>
    <w:uiPriority w:val="99"/>
    <w:unhideWhenUsed/>
    <w:rsid w:val="00C07298"/>
    <w:rPr>
      <w:color w:val="0000FF" w:themeColor="hyperlink"/>
      <w:u w:val="single"/>
    </w:rPr>
  </w:style>
  <w:style w:type="character" w:customStyle="1" w:styleId="UnresolvedMention1">
    <w:name w:val="Unresolved Mention1"/>
    <w:basedOn w:val="DefaultParagraphFont"/>
    <w:uiPriority w:val="99"/>
    <w:semiHidden/>
    <w:unhideWhenUsed/>
    <w:rsid w:val="004B39BE"/>
    <w:rPr>
      <w:color w:val="808080"/>
      <w:shd w:val="clear" w:color="auto" w:fill="E6E6E6"/>
    </w:rPr>
  </w:style>
  <w:style w:type="paragraph" w:styleId="Header">
    <w:name w:val="header"/>
    <w:basedOn w:val="Normal"/>
    <w:link w:val="HeaderChar"/>
    <w:uiPriority w:val="99"/>
    <w:unhideWhenUsed/>
    <w:rsid w:val="00285A6C"/>
    <w:pPr>
      <w:tabs>
        <w:tab w:val="center" w:pos="4680"/>
        <w:tab w:val="right" w:pos="9360"/>
      </w:tabs>
    </w:pPr>
  </w:style>
  <w:style w:type="character" w:customStyle="1" w:styleId="HeaderChar">
    <w:name w:val="Header Char"/>
    <w:basedOn w:val="DefaultParagraphFont"/>
    <w:link w:val="Header"/>
    <w:uiPriority w:val="99"/>
    <w:rsid w:val="00285A6C"/>
    <w:rPr>
      <w:rFonts w:eastAsiaTheme="minorEastAsia"/>
      <w:sz w:val="24"/>
      <w:szCs w:val="24"/>
    </w:rPr>
  </w:style>
  <w:style w:type="paragraph" w:styleId="Footer">
    <w:name w:val="footer"/>
    <w:basedOn w:val="Normal"/>
    <w:link w:val="FooterChar"/>
    <w:uiPriority w:val="99"/>
    <w:unhideWhenUsed/>
    <w:rsid w:val="00285A6C"/>
    <w:pPr>
      <w:tabs>
        <w:tab w:val="center" w:pos="4680"/>
        <w:tab w:val="right" w:pos="9360"/>
      </w:tabs>
    </w:pPr>
  </w:style>
  <w:style w:type="character" w:customStyle="1" w:styleId="FooterChar">
    <w:name w:val="Footer Char"/>
    <w:basedOn w:val="DefaultParagraphFont"/>
    <w:link w:val="Footer"/>
    <w:uiPriority w:val="99"/>
    <w:rsid w:val="00285A6C"/>
    <w:rPr>
      <w:rFonts w:eastAsiaTheme="minorEastAsia"/>
      <w:sz w:val="24"/>
      <w:szCs w:val="24"/>
    </w:rPr>
  </w:style>
  <w:style w:type="paragraph" w:styleId="BalloonText">
    <w:name w:val="Balloon Text"/>
    <w:basedOn w:val="Normal"/>
    <w:link w:val="BalloonTextChar"/>
    <w:uiPriority w:val="99"/>
    <w:semiHidden/>
    <w:unhideWhenUsed/>
    <w:rsid w:val="00482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51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0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news/press-releases/2014/04/miguel-figueroa-head-ala-center-future-libraries" TargetMode="External"/><Relationship Id="rId13" Type="http://schemas.openxmlformats.org/officeDocument/2006/relationships/hyperlink" Target="http://www.ilovelibraries.org/librariestransform/trends" TargetMode="External"/><Relationship Id="rId18" Type="http://schemas.openxmlformats.org/officeDocument/2006/relationships/hyperlink" Target="http://2017.alamidwinter.org/symposium-on-future-libraries/schedul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ala.org/news/press-releases/2013/10/ala-establish-center-future-libraries" TargetMode="External"/><Relationship Id="rId12" Type="http://schemas.openxmlformats.org/officeDocument/2006/relationships/chart" Target="charts/chart1.xml"/><Relationship Id="rId17" Type="http://schemas.openxmlformats.org/officeDocument/2006/relationships/hyperlink" Target="http://2017.alamidwinter.org/symposium-on-future-libraries/plenary" TargetMode="External"/><Relationship Id="rId2" Type="http://schemas.openxmlformats.org/officeDocument/2006/relationships/styles" Target="styles.xml"/><Relationship Id="rId16" Type="http://schemas.openxmlformats.org/officeDocument/2006/relationships/hyperlink" Target="http://www.ala.org/transforminglibraries/future/engage/TrendCards" TargetMode="External"/><Relationship Id="rId20" Type="http://schemas.openxmlformats.org/officeDocument/2006/relationships/hyperlink" Target="http://www.ala.org/news/member-news/2017/01/acrl-host-mellonacls-public-fello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org/transforminglibraries/future/trends"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http://www.aam-us.org/resources/center-for-the-future-of-museums/projects-and-reports/trendswatch" TargetMode="External"/><Relationship Id="rId19" Type="http://schemas.openxmlformats.org/officeDocument/2006/relationships/hyperlink" Target="http://www.ala.org/news/member-news/2017/05/m-rquez-and-downey-selected-first-future-libraries-fellowship" TargetMode="External"/><Relationship Id="rId4" Type="http://schemas.openxmlformats.org/officeDocument/2006/relationships/webSettings" Target="webSettings.xml"/><Relationship Id="rId9" Type="http://schemas.openxmlformats.org/officeDocument/2006/relationships/hyperlink" Target="http://www.ala.org/news/press-releases/2015/11/ala-announces-center-future-libraries-advisory-group" TargetMode="External"/><Relationship Id="rId14" Type="http://schemas.openxmlformats.org/officeDocument/2006/relationships/hyperlink" Target="http://www.ilovelibraries.org/what-libraries-do/innovate"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NewsletterTrackin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Trend Collection Views (Pageviews /</a:t>
            </a:r>
            <a:r>
              <a:rPr lang="en-US" sz="1200" baseline="0"/>
              <a:t> Unique Pageviews)</a:t>
            </a:r>
            <a:endParaRPr lang="en-US"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122922134733"/>
          <c:y val="0.16041666666666701"/>
          <c:w val="0.84732152230971103"/>
          <c:h val="0.57542395742198904"/>
        </c:manualLayout>
      </c:layout>
      <c:barChart>
        <c:barDir val="col"/>
        <c:grouping val="clustered"/>
        <c:varyColors val="0"/>
        <c:ser>
          <c:idx val="0"/>
          <c:order val="0"/>
          <c:tx>
            <c:strRef>
              <c:f>TrendCollection!$B$1</c:f>
              <c:strCache>
                <c:ptCount val="1"/>
                <c:pt idx="0">
                  <c:v>Pageviews</c:v>
                </c:pt>
              </c:strCache>
            </c:strRef>
          </c:tx>
          <c:spPr>
            <a:solidFill>
              <a:schemeClr val="accent1"/>
            </a:solidFill>
            <a:ln>
              <a:noFill/>
            </a:ln>
            <a:effectLst/>
          </c:spPr>
          <c:invertIfNegative val="0"/>
          <c:cat>
            <c:strRef>
              <c:f>TrendCollection!$A$2:$A$6</c:f>
              <c:strCache>
                <c:ptCount val="5"/>
                <c:pt idx="0">
                  <c:v>January - June 2015</c:v>
                </c:pt>
                <c:pt idx="1">
                  <c:v>July - December 2015</c:v>
                </c:pt>
                <c:pt idx="2">
                  <c:v>January - June 2016</c:v>
                </c:pt>
                <c:pt idx="3">
                  <c:v>July - December 2016</c:v>
                </c:pt>
                <c:pt idx="4">
                  <c:v>January - June 2017</c:v>
                </c:pt>
              </c:strCache>
            </c:strRef>
          </c:cat>
          <c:val>
            <c:numRef>
              <c:f>TrendCollection!$B$2:$B$6</c:f>
              <c:numCache>
                <c:formatCode>_(* #,##0_);_(* \(#,##0\);_(* "-"??_);_(@_)</c:formatCode>
                <c:ptCount val="5"/>
                <c:pt idx="0">
                  <c:v>16136</c:v>
                </c:pt>
                <c:pt idx="1">
                  <c:v>19053</c:v>
                </c:pt>
                <c:pt idx="2">
                  <c:v>19687</c:v>
                </c:pt>
                <c:pt idx="3">
                  <c:v>28453</c:v>
                </c:pt>
                <c:pt idx="4">
                  <c:v>24324</c:v>
                </c:pt>
              </c:numCache>
            </c:numRef>
          </c:val>
          <c:extLst>
            <c:ext xmlns:c16="http://schemas.microsoft.com/office/drawing/2014/chart" uri="{C3380CC4-5D6E-409C-BE32-E72D297353CC}">
              <c16:uniqueId val="{00000000-4A36-416E-B1B9-411A11D884D4}"/>
            </c:ext>
          </c:extLst>
        </c:ser>
        <c:ser>
          <c:idx val="1"/>
          <c:order val="1"/>
          <c:tx>
            <c:strRef>
              <c:f>TrendCollection!$C$1</c:f>
              <c:strCache>
                <c:ptCount val="1"/>
                <c:pt idx="0">
                  <c:v>Unique Pageviews</c:v>
                </c:pt>
              </c:strCache>
            </c:strRef>
          </c:tx>
          <c:spPr>
            <a:solidFill>
              <a:schemeClr val="accent2"/>
            </a:solidFill>
            <a:ln>
              <a:noFill/>
            </a:ln>
            <a:effectLst/>
          </c:spPr>
          <c:invertIfNegative val="0"/>
          <c:cat>
            <c:strRef>
              <c:f>TrendCollection!$A$2:$A$6</c:f>
              <c:strCache>
                <c:ptCount val="5"/>
                <c:pt idx="0">
                  <c:v>January - June 2015</c:v>
                </c:pt>
                <c:pt idx="1">
                  <c:v>July - December 2015</c:v>
                </c:pt>
                <c:pt idx="2">
                  <c:v>January - June 2016</c:v>
                </c:pt>
                <c:pt idx="3">
                  <c:v>July - December 2016</c:v>
                </c:pt>
                <c:pt idx="4">
                  <c:v>January - June 2017</c:v>
                </c:pt>
              </c:strCache>
            </c:strRef>
          </c:cat>
          <c:val>
            <c:numRef>
              <c:f>TrendCollection!$C$2:$C$6</c:f>
              <c:numCache>
                <c:formatCode>_(* #,##0_);_(* \(#,##0\);_(* "-"??_);_(@_)</c:formatCode>
                <c:ptCount val="5"/>
                <c:pt idx="0">
                  <c:v>8531</c:v>
                </c:pt>
                <c:pt idx="1">
                  <c:v>10893</c:v>
                </c:pt>
                <c:pt idx="2">
                  <c:v>10720</c:v>
                </c:pt>
                <c:pt idx="3">
                  <c:v>16413</c:v>
                </c:pt>
                <c:pt idx="4">
                  <c:v>13383</c:v>
                </c:pt>
              </c:numCache>
            </c:numRef>
          </c:val>
          <c:extLst>
            <c:ext xmlns:c16="http://schemas.microsoft.com/office/drawing/2014/chart" uri="{C3380CC4-5D6E-409C-BE32-E72D297353CC}">
              <c16:uniqueId val="{00000001-4A36-416E-B1B9-411A11D884D4}"/>
            </c:ext>
          </c:extLst>
        </c:ser>
        <c:dLbls>
          <c:showLegendKey val="0"/>
          <c:showVal val="0"/>
          <c:showCatName val="0"/>
          <c:showSerName val="0"/>
          <c:showPercent val="0"/>
          <c:showBubbleSize val="0"/>
        </c:dLbls>
        <c:gapWidth val="219"/>
        <c:overlap val="-27"/>
        <c:axId val="2075806280"/>
        <c:axId val="2079748120"/>
      </c:barChart>
      <c:catAx>
        <c:axId val="207580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748120"/>
        <c:crosses val="autoZero"/>
        <c:auto val="1"/>
        <c:lblAlgn val="ctr"/>
        <c:lblOffset val="100"/>
        <c:noMultiLvlLbl val="0"/>
      </c:catAx>
      <c:valAx>
        <c:axId val="207974812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58062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Read for Later</a:t>
            </a:r>
            <a:r>
              <a:rPr lang="en-US" baseline="0"/>
              <a:t> E-mail </a:t>
            </a:r>
            <a:r>
              <a:rPr lang="en-US"/>
              <a:t>Subscribers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Subscribers</c:v>
                </c:pt>
              </c:strCache>
            </c:strRef>
          </c:tx>
          <c:spPr>
            <a:ln w="28575" cap="rnd">
              <a:solidFill>
                <a:schemeClr val="accent1"/>
              </a:solidFill>
              <a:round/>
            </a:ln>
            <a:effectLst/>
          </c:spPr>
          <c:marker>
            <c:symbol val="none"/>
          </c:marker>
          <c:cat>
            <c:numRef>
              <c:f>Sheet1!$A$2:$A$76</c:f>
              <c:numCache>
                <c:formatCode>[$-409]mmmm\ d\,\ yyyy;@</c:formatCode>
                <c:ptCount val="75"/>
                <c:pt idx="0">
                  <c:v>42331</c:v>
                </c:pt>
                <c:pt idx="1">
                  <c:v>42338</c:v>
                </c:pt>
                <c:pt idx="2">
                  <c:v>42345</c:v>
                </c:pt>
                <c:pt idx="3">
                  <c:v>42352</c:v>
                </c:pt>
                <c:pt idx="4">
                  <c:v>42359</c:v>
                </c:pt>
                <c:pt idx="5">
                  <c:v>42366</c:v>
                </c:pt>
                <c:pt idx="6">
                  <c:v>42373</c:v>
                </c:pt>
                <c:pt idx="7">
                  <c:v>42387</c:v>
                </c:pt>
                <c:pt idx="8">
                  <c:v>42394</c:v>
                </c:pt>
                <c:pt idx="9">
                  <c:v>42401</c:v>
                </c:pt>
                <c:pt idx="10">
                  <c:v>42408</c:v>
                </c:pt>
                <c:pt idx="11">
                  <c:v>42415</c:v>
                </c:pt>
                <c:pt idx="12">
                  <c:v>42422</c:v>
                </c:pt>
                <c:pt idx="13">
                  <c:v>42429</c:v>
                </c:pt>
                <c:pt idx="14">
                  <c:v>42436</c:v>
                </c:pt>
                <c:pt idx="15">
                  <c:v>42443</c:v>
                </c:pt>
                <c:pt idx="16">
                  <c:v>42450</c:v>
                </c:pt>
                <c:pt idx="17">
                  <c:v>42457</c:v>
                </c:pt>
                <c:pt idx="18">
                  <c:v>42464</c:v>
                </c:pt>
                <c:pt idx="19">
                  <c:v>42471</c:v>
                </c:pt>
                <c:pt idx="20" formatCode="m/d/yyyy">
                  <c:v>42478</c:v>
                </c:pt>
                <c:pt idx="21" formatCode="m/d/yyyy">
                  <c:v>42485</c:v>
                </c:pt>
                <c:pt idx="22" formatCode="m/d/yyyy">
                  <c:v>42492</c:v>
                </c:pt>
                <c:pt idx="23" formatCode="m/d/yyyy">
                  <c:v>42500</c:v>
                </c:pt>
                <c:pt idx="24" formatCode="m/d/yyyy">
                  <c:v>42507</c:v>
                </c:pt>
                <c:pt idx="25" formatCode="m/d/yyyy">
                  <c:v>42513</c:v>
                </c:pt>
                <c:pt idx="26" formatCode="m/d/yyyy">
                  <c:v>42528</c:v>
                </c:pt>
                <c:pt idx="27" formatCode="m/d/yyyy">
                  <c:v>42534</c:v>
                </c:pt>
                <c:pt idx="28" formatCode="m/d/yyyy">
                  <c:v>42541</c:v>
                </c:pt>
                <c:pt idx="29" formatCode="m/d/yyyy">
                  <c:v>42549</c:v>
                </c:pt>
                <c:pt idx="30" formatCode="m/d/yyyy">
                  <c:v>42555</c:v>
                </c:pt>
                <c:pt idx="31" formatCode="m/d/yyyy">
                  <c:v>42562</c:v>
                </c:pt>
                <c:pt idx="32" formatCode="m/d/yyyy">
                  <c:v>42569</c:v>
                </c:pt>
                <c:pt idx="33" formatCode="m/d/yyyy">
                  <c:v>42576</c:v>
                </c:pt>
                <c:pt idx="34" formatCode="m/d/yyyy">
                  <c:v>42583</c:v>
                </c:pt>
                <c:pt idx="35" formatCode="m/d/yyyy">
                  <c:v>42590</c:v>
                </c:pt>
                <c:pt idx="36" formatCode="m/d/yyyy">
                  <c:v>42597</c:v>
                </c:pt>
                <c:pt idx="37" formatCode="m/d/yyyy">
                  <c:v>42605</c:v>
                </c:pt>
                <c:pt idx="38" formatCode="m/d/yyyy">
                  <c:v>42611</c:v>
                </c:pt>
                <c:pt idx="39" formatCode="m/d/yyyy">
                  <c:v>42619</c:v>
                </c:pt>
                <c:pt idx="40" formatCode="m/d/yyyy">
                  <c:v>42625</c:v>
                </c:pt>
                <c:pt idx="41" formatCode="m/d/yyyy">
                  <c:v>42639</c:v>
                </c:pt>
                <c:pt idx="42" formatCode="m/d/yyyy">
                  <c:v>42646</c:v>
                </c:pt>
                <c:pt idx="43" formatCode="m/d/yyyy">
                  <c:v>42654</c:v>
                </c:pt>
                <c:pt idx="44" formatCode="m/d/yyyy">
                  <c:v>42660</c:v>
                </c:pt>
                <c:pt idx="45" formatCode="m/d/yyyy">
                  <c:v>42667</c:v>
                </c:pt>
                <c:pt idx="46" formatCode="m/d/yyyy">
                  <c:v>42674</c:v>
                </c:pt>
                <c:pt idx="47" formatCode="m/d/yyyy">
                  <c:v>42682</c:v>
                </c:pt>
                <c:pt idx="48" formatCode="m/d/yyyy">
                  <c:v>42688</c:v>
                </c:pt>
                <c:pt idx="49" formatCode="m/d/yyyy">
                  <c:v>42702</c:v>
                </c:pt>
                <c:pt idx="50" formatCode="m/d/yyyy">
                  <c:v>42709</c:v>
                </c:pt>
                <c:pt idx="51" formatCode="m/d/yyyy">
                  <c:v>42716</c:v>
                </c:pt>
                <c:pt idx="52" formatCode="m/d/yyyy">
                  <c:v>42723</c:v>
                </c:pt>
                <c:pt idx="53" formatCode="m/d/yyyy">
                  <c:v>42738</c:v>
                </c:pt>
                <c:pt idx="54" formatCode="m/d/yyyy">
                  <c:v>42744</c:v>
                </c:pt>
                <c:pt idx="55" formatCode="m/d/yyyy">
                  <c:v>42751</c:v>
                </c:pt>
                <c:pt idx="56" formatCode="m/d/yyyy">
                  <c:v>42765</c:v>
                </c:pt>
                <c:pt idx="57" formatCode="m/d/yyyy">
                  <c:v>42773</c:v>
                </c:pt>
                <c:pt idx="58" formatCode="m/d/yyyy">
                  <c:v>42779</c:v>
                </c:pt>
                <c:pt idx="59" formatCode="m/d/yyyy">
                  <c:v>42786</c:v>
                </c:pt>
                <c:pt idx="60" formatCode="m/d/yyyy">
                  <c:v>42793</c:v>
                </c:pt>
                <c:pt idx="61" formatCode="m/d/yyyy">
                  <c:v>42800</c:v>
                </c:pt>
                <c:pt idx="62" formatCode="m/d/yyyy">
                  <c:v>42807</c:v>
                </c:pt>
                <c:pt idx="63" formatCode="m/d/yyyy">
                  <c:v>42821</c:v>
                </c:pt>
                <c:pt idx="64" formatCode="m/d/yyyy">
                  <c:v>42828</c:v>
                </c:pt>
                <c:pt idx="65" formatCode="m/d/yyyy">
                  <c:v>42835</c:v>
                </c:pt>
                <c:pt idx="66" formatCode="m/d/yyyy">
                  <c:v>42845</c:v>
                </c:pt>
                <c:pt idx="67" formatCode="m/d/yyyy">
                  <c:v>42851</c:v>
                </c:pt>
                <c:pt idx="68" formatCode="m/d/yyyy">
                  <c:v>42856</c:v>
                </c:pt>
                <c:pt idx="69" formatCode="m/d/yyyy">
                  <c:v>42863</c:v>
                </c:pt>
                <c:pt idx="70" formatCode="m/d/yyyy">
                  <c:v>42870</c:v>
                </c:pt>
                <c:pt idx="71" formatCode="m/d/yyyy">
                  <c:v>42877</c:v>
                </c:pt>
                <c:pt idx="72" formatCode="m/d/yyyy">
                  <c:v>42886</c:v>
                </c:pt>
                <c:pt idx="73" formatCode="m/d/yyyy">
                  <c:v>42898</c:v>
                </c:pt>
                <c:pt idx="74" formatCode="m/d/yyyy">
                  <c:v>42904</c:v>
                </c:pt>
              </c:numCache>
            </c:numRef>
          </c:cat>
          <c:val>
            <c:numRef>
              <c:f>Sheet1!$B$2:$B$76</c:f>
              <c:numCache>
                <c:formatCode>General</c:formatCode>
                <c:ptCount val="75"/>
                <c:pt idx="0">
                  <c:v>15</c:v>
                </c:pt>
                <c:pt idx="1">
                  <c:v>42</c:v>
                </c:pt>
                <c:pt idx="2">
                  <c:v>446</c:v>
                </c:pt>
                <c:pt idx="3">
                  <c:v>475</c:v>
                </c:pt>
                <c:pt idx="4">
                  <c:v>503</c:v>
                </c:pt>
                <c:pt idx="5">
                  <c:v>520</c:v>
                </c:pt>
                <c:pt idx="6">
                  <c:v>568</c:v>
                </c:pt>
                <c:pt idx="7">
                  <c:v>653</c:v>
                </c:pt>
                <c:pt idx="8">
                  <c:v>674</c:v>
                </c:pt>
                <c:pt idx="9">
                  <c:v>685</c:v>
                </c:pt>
                <c:pt idx="10">
                  <c:v>703</c:v>
                </c:pt>
                <c:pt idx="11">
                  <c:v>736</c:v>
                </c:pt>
                <c:pt idx="12">
                  <c:v>847</c:v>
                </c:pt>
                <c:pt idx="13">
                  <c:v>899</c:v>
                </c:pt>
                <c:pt idx="14">
                  <c:v>980</c:v>
                </c:pt>
                <c:pt idx="15">
                  <c:v>1077</c:v>
                </c:pt>
                <c:pt idx="16">
                  <c:v>1128</c:v>
                </c:pt>
                <c:pt idx="17">
                  <c:v>1168</c:v>
                </c:pt>
                <c:pt idx="18">
                  <c:v>1240</c:v>
                </c:pt>
                <c:pt idx="19">
                  <c:v>1300</c:v>
                </c:pt>
                <c:pt idx="20">
                  <c:v>1329</c:v>
                </c:pt>
                <c:pt idx="21">
                  <c:v>1357</c:v>
                </c:pt>
                <c:pt idx="22">
                  <c:v>1382</c:v>
                </c:pt>
                <c:pt idx="23">
                  <c:v>1408</c:v>
                </c:pt>
                <c:pt idx="24">
                  <c:v>1437</c:v>
                </c:pt>
                <c:pt idx="25">
                  <c:v>1469</c:v>
                </c:pt>
                <c:pt idx="26">
                  <c:v>1500</c:v>
                </c:pt>
                <c:pt idx="27">
                  <c:v>1533</c:v>
                </c:pt>
                <c:pt idx="28">
                  <c:v>1560</c:v>
                </c:pt>
                <c:pt idx="29">
                  <c:v>1590</c:v>
                </c:pt>
                <c:pt idx="30">
                  <c:v>1604</c:v>
                </c:pt>
                <c:pt idx="31">
                  <c:v>1625</c:v>
                </c:pt>
                <c:pt idx="32">
                  <c:v>1639</c:v>
                </c:pt>
                <c:pt idx="33">
                  <c:v>1684</c:v>
                </c:pt>
                <c:pt idx="34">
                  <c:v>1741</c:v>
                </c:pt>
                <c:pt idx="35">
                  <c:v>1783</c:v>
                </c:pt>
                <c:pt idx="36">
                  <c:v>1804</c:v>
                </c:pt>
                <c:pt idx="37">
                  <c:v>1828</c:v>
                </c:pt>
                <c:pt idx="38">
                  <c:v>1846</c:v>
                </c:pt>
                <c:pt idx="39">
                  <c:v>1859</c:v>
                </c:pt>
                <c:pt idx="40">
                  <c:v>1940</c:v>
                </c:pt>
                <c:pt idx="41">
                  <c:v>2026</c:v>
                </c:pt>
                <c:pt idx="42">
                  <c:v>2057</c:v>
                </c:pt>
                <c:pt idx="43">
                  <c:v>2106</c:v>
                </c:pt>
                <c:pt idx="44">
                  <c:v>2144</c:v>
                </c:pt>
                <c:pt idx="45">
                  <c:v>2194</c:v>
                </c:pt>
                <c:pt idx="46">
                  <c:v>2222</c:v>
                </c:pt>
                <c:pt idx="47">
                  <c:v>2256</c:v>
                </c:pt>
                <c:pt idx="48">
                  <c:v>2282</c:v>
                </c:pt>
                <c:pt idx="49">
                  <c:v>2336</c:v>
                </c:pt>
                <c:pt idx="50">
                  <c:v>2384</c:v>
                </c:pt>
                <c:pt idx="51">
                  <c:v>2415</c:v>
                </c:pt>
                <c:pt idx="52">
                  <c:v>2434</c:v>
                </c:pt>
                <c:pt idx="53">
                  <c:v>2566</c:v>
                </c:pt>
                <c:pt idx="54">
                  <c:v>2610</c:v>
                </c:pt>
                <c:pt idx="55">
                  <c:v>2637</c:v>
                </c:pt>
                <c:pt idx="56">
                  <c:v>2685</c:v>
                </c:pt>
                <c:pt idx="57">
                  <c:v>2705</c:v>
                </c:pt>
                <c:pt idx="58">
                  <c:v>2717</c:v>
                </c:pt>
                <c:pt idx="59">
                  <c:v>2732</c:v>
                </c:pt>
                <c:pt idx="60">
                  <c:v>2743</c:v>
                </c:pt>
                <c:pt idx="61">
                  <c:v>2767</c:v>
                </c:pt>
                <c:pt idx="62">
                  <c:v>2780</c:v>
                </c:pt>
                <c:pt idx="63">
                  <c:v>2818</c:v>
                </c:pt>
                <c:pt idx="64">
                  <c:v>2856</c:v>
                </c:pt>
                <c:pt idx="65">
                  <c:v>2880</c:v>
                </c:pt>
                <c:pt idx="66">
                  <c:v>2914</c:v>
                </c:pt>
                <c:pt idx="67">
                  <c:v>2930</c:v>
                </c:pt>
                <c:pt idx="68">
                  <c:v>2962</c:v>
                </c:pt>
                <c:pt idx="69">
                  <c:v>2975</c:v>
                </c:pt>
                <c:pt idx="70">
                  <c:v>3010</c:v>
                </c:pt>
                <c:pt idx="71">
                  <c:v>3019</c:v>
                </c:pt>
                <c:pt idx="72">
                  <c:v>3041</c:v>
                </c:pt>
                <c:pt idx="73">
                  <c:v>3067</c:v>
                </c:pt>
                <c:pt idx="74">
                  <c:v>3084</c:v>
                </c:pt>
              </c:numCache>
            </c:numRef>
          </c:val>
          <c:smooth val="0"/>
          <c:extLst>
            <c:ext xmlns:c16="http://schemas.microsoft.com/office/drawing/2014/chart" uri="{C3380CC4-5D6E-409C-BE32-E72D297353CC}">
              <c16:uniqueId val="{00000000-85D2-4101-9463-9CD78CF2045C}"/>
            </c:ext>
          </c:extLst>
        </c:ser>
        <c:dLbls>
          <c:showLegendKey val="0"/>
          <c:showVal val="0"/>
          <c:showCatName val="0"/>
          <c:showSerName val="0"/>
          <c:showPercent val="0"/>
          <c:showBubbleSize val="0"/>
        </c:dLbls>
        <c:smooth val="0"/>
        <c:axId val="2036751320"/>
        <c:axId val="2066038600"/>
      </c:lineChart>
      <c:dateAx>
        <c:axId val="2036751320"/>
        <c:scaling>
          <c:orientation val="minMax"/>
        </c:scaling>
        <c:delete val="0"/>
        <c:axPos val="b"/>
        <c:numFmt formatCode="[$-409]mmmm\ d\,\ 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6038600"/>
        <c:crosses val="autoZero"/>
        <c:auto val="1"/>
        <c:lblOffset val="100"/>
        <c:baseTimeUnit val="days"/>
      </c:dateAx>
      <c:valAx>
        <c:axId val="2066038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751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Figueroa</dc:creator>
  <cp:keywords/>
  <dc:description/>
  <cp:lastModifiedBy>Datasis</cp:lastModifiedBy>
  <cp:revision>4</cp:revision>
  <cp:lastPrinted>2017-06-26T00:28:00Z</cp:lastPrinted>
  <dcterms:created xsi:type="dcterms:W3CDTF">2017-06-25T02:07:00Z</dcterms:created>
  <dcterms:modified xsi:type="dcterms:W3CDTF">2017-06-26T01:16:00Z</dcterms:modified>
</cp:coreProperties>
</file>